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5031" w14:textId="47215EFF" w:rsidR="002D4FA9" w:rsidRPr="007511A1" w:rsidRDefault="002D4FA9" w:rsidP="007B3978">
      <w:pPr>
        <w:rPr>
          <w:sz w:val="20"/>
          <w:szCs w:val="20"/>
        </w:rPr>
      </w:pPr>
      <w:r w:rsidRPr="007511A1">
        <w:rPr>
          <w:sz w:val="20"/>
          <w:szCs w:val="20"/>
        </w:rPr>
        <w:t xml:space="preserve">University of Arizona Plan </w:t>
      </w:r>
      <w:r w:rsidR="00C73979" w:rsidRPr="007511A1">
        <w:rPr>
          <w:sz w:val="20"/>
          <w:szCs w:val="20"/>
        </w:rPr>
        <w:t xml:space="preserve">for Restarting Human Subject </w:t>
      </w:r>
      <w:r w:rsidRPr="007511A1">
        <w:rPr>
          <w:sz w:val="20"/>
          <w:szCs w:val="20"/>
        </w:rPr>
        <w:t>Research</w:t>
      </w:r>
      <w:r w:rsidRPr="007511A1">
        <w:rPr>
          <w:sz w:val="20"/>
          <w:szCs w:val="20"/>
        </w:rPr>
        <w:tab/>
      </w:r>
      <w:r w:rsidRPr="007511A1">
        <w:rPr>
          <w:sz w:val="20"/>
          <w:szCs w:val="20"/>
        </w:rPr>
        <w:tab/>
      </w:r>
      <w:r w:rsidR="007511A1" w:rsidRPr="007511A1">
        <w:rPr>
          <w:sz w:val="20"/>
          <w:szCs w:val="20"/>
        </w:rPr>
        <w:t xml:space="preserve">              </w:t>
      </w:r>
      <w:r w:rsidR="007511A1">
        <w:rPr>
          <w:sz w:val="20"/>
          <w:szCs w:val="20"/>
        </w:rPr>
        <w:t xml:space="preserve">                      </w:t>
      </w:r>
      <w:r w:rsidR="00791BC6">
        <w:rPr>
          <w:sz w:val="20"/>
          <w:szCs w:val="20"/>
        </w:rPr>
        <w:t>Revised May 3</w:t>
      </w:r>
      <w:r w:rsidR="00E14F88">
        <w:rPr>
          <w:sz w:val="20"/>
          <w:szCs w:val="20"/>
        </w:rPr>
        <w:t>1</w:t>
      </w:r>
      <w:r w:rsidR="00791BC6">
        <w:rPr>
          <w:sz w:val="20"/>
          <w:szCs w:val="20"/>
        </w:rPr>
        <w:t>, 2020</w:t>
      </w:r>
    </w:p>
    <w:p w14:paraId="19555D86" w14:textId="77777777" w:rsidR="002D4FA9" w:rsidRDefault="002D4FA9" w:rsidP="007B3978">
      <w:pPr>
        <w:rPr>
          <w:b/>
          <w:sz w:val="28"/>
          <w:szCs w:val="28"/>
        </w:rPr>
      </w:pPr>
    </w:p>
    <w:p w14:paraId="0A3917EF" w14:textId="02FFAF06" w:rsidR="008F4DCD" w:rsidRDefault="008F4DCD" w:rsidP="008F4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Guiding Principles for </w:t>
      </w:r>
      <w:r w:rsidR="00C73979">
        <w:rPr>
          <w:b/>
          <w:sz w:val="28"/>
          <w:szCs w:val="28"/>
        </w:rPr>
        <w:t xml:space="preserve">Restarting </w:t>
      </w:r>
      <w:r w:rsidR="007B3978">
        <w:rPr>
          <w:b/>
          <w:sz w:val="28"/>
          <w:szCs w:val="28"/>
        </w:rPr>
        <w:t>H</w:t>
      </w:r>
      <w:r w:rsidR="007B3978" w:rsidRPr="002F3674">
        <w:rPr>
          <w:b/>
          <w:sz w:val="28"/>
          <w:szCs w:val="28"/>
        </w:rPr>
        <w:t>uman Subject Research</w:t>
      </w:r>
      <w:r w:rsidR="006443DE">
        <w:rPr>
          <w:b/>
          <w:sz w:val="28"/>
          <w:szCs w:val="28"/>
        </w:rPr>
        <w:t xml:space="preserve"> (HSR)</w:t>
      </w:r>
    </w:p>
    <w:p w14:paraId="056BFB28" w14:textId="3F391F09" w:rsidR="008F4DCD" w:rsidRDefault="008F4DCD" w:rsidP="008F4DCD">
      <w:pPr>
        <w:rPr>
          <w:b/>
          <w:sz w:val="28"/>
          <w:szCs w:val="28"/>
        </w:rPr>
      </w:pPr>
    </w:p>
    <w:p w14:paraId="782C6882" w14:textId="7DF7F1C9" w:rsidR="005314DA" w:rsidRDefault="005314DA" w:rsidP="005314DA">
      <w:r>
        <w:t xml:space="preserve">The COVID-19 pandemic </w:t>
      </w:r>
      <w:r w:rsidR="00354376">
        <w:t>has introduced unique challenges to r</w:t>
      </w:r>
      <w:r>
        <w:t xml:space="preserve">esearch </w:t>
      </w:r>
      <w:r w:rsidR="001D276F">
        <w:t>studies</w:t>
      </w:r>
      <w:r w:rsidR="00354376">
        <w:t xml:space="preserve"> involving </w:t>
      </w:r>
      <w:r>
        <w:t>human</w:t>
      </w:r>
      <w:r w:rsidR="001D276F">
        <w:t xml:space="preserve"> subjects</w:t>
      </w:r>
      <w:r w:rsidR="00354376">
        <w:t xml:space="preserve">. </w:t>
      </w:r>
      <w:r>
        <w:t xml:space="preserve"> </w:t>
      </w:r>
      <w:r w:rsidR="003310AF" w:rsidRPr="00D722E9">
        <w:t>This document is not meant to supersede</w:t>
      </w:r>
      <w:r w:rsidR="003310AF">
        <w:t xml:space="preserve"> the </w:t>
      </w:r>
      <w:r w:rsidR="003310AF" w:rsidRPr="00D722E9">
        <w:t xml:space="preserve">Guiding Principles and Best Practices included in the </w:t>
      </w:r>
      <w:hyperlink r:id="rId8" w:history="1">
        <w:r w:rsidR="003310AF" w:rsidRPr="003310AF">
          <w:rPr>
            <w:rStyle w:val="Hyperlink"/>
          </w:rPr>
          <w:t>RII Research Restart Plan</w:t>
        </w:r>
      </w:hyperlink>
      <w:r w:rsidR="003310AF" w:rsidRPr="00D722E9">
        <w:t>.</w:t>
      </w:r>
      <w:r w:rsidR="003310AF" w:rsidRPr="003F0FCF">
        <w:t xml:space="preserve"> </w:t>
      </w:r>
      <w:r w:rsidR="00354376">
        <w:t xml:space="preserve"> Rather, the purpose of this plan </w:t>
      </w:r>
      <w:r w:rsidR="003310AF" w:rsidRPr="003310AF">
        <w:t xml:space="preserve">is to provide additional guidance for </w:t>
      </w:r>
      <w:r w:rsidR="001D276F">
        <w:t xml:space="preserve">a range of research </w:t>
      </w:r>
      <w:r w:rsidR="003310AF" w:rsidRPr="003310AF">
        <w:t xml:space="preserve">involving human subjects </w:t>
      </w:r>
      <w:r w:rsidR="001D276F">
        <w:t xml:space="preserve">from </w:t>
      </w:r>
      <w:r w:rsidR="00354376">
        <w:t>behavioral studies to therapeutic and interventional clinical trials</w:t>
      </w:r>
      <w:r w:rsidR="001F679F">
        <w:t>,</w:t>
      </w:r>
      <w:r w:rsidR="00354376" w:rsidRPr="003310AF">
        <w:t xml:space="preserve"> </w:t>
      </w:r>
      <w:r w:rsidR="003310AF" w:rsidRPr="003310AF">
        <w:t>in order to protect the health and safety of r</w:t>
      </w:r>
      <w:r w:rsidR="001D276F">
        <w:t xml:space="preserve">esearchers, </w:t>
      </w:r>
      <w:r w:rsidR="003310AF" w:rsidRPr="003310AF">
        <w:t>r</w:t>
      </w:r>
      <w:r w:rsidR="00354376">
        <w:t>esearch participants</w:t>
      </w:r>
      <w:r w:rsidR="001D276F">
        <w:t>, and students</w:t>
      </w:r>
      <w:r w:rsidR="003310AF">
        <w:t xml:space="preserve">.  </w:t>
      </w:r>
      <w:r w:rsidR="00354376">
        <w:t xml:space="preserve">The plan </w:t>
      </w:r>
      <w:r>
        <w:t>incorporate</w:t>
      </w:r>
      <w:r w:rsidR="00354376">
        <w:t>s</w:t>
      </w:r>
      <w:r w:rsidR="001F679F">
        <w:t xml:space="preserve"> </w:t>
      </w:r>
      <w:hyperlink r:id="rId9" w:history="1">
        <w:r w:rsidR="001F679F" w:rsidRPr="001F679F">
          <w:rPr>
            <w:rStyle w:val="Hyperlink"/>
          </w:rPr>
          <w:t>CDC recommendations</w:t>
        </w:r>
      </w:hyperlink>
      <w:r>
        <w:t xml:space="preserve"> </w:t>
      </w:r>
      <w:r w:rsidR="001F679F">
        <w:t xml:space="preserve">and general guidance included in the </w:t>
      </w:r>
      <w:hyperlink r:id="rId10" w:history="1">
        <w:r w:rsidR="00354376" w:rsidRPr="003310AF">
          <w:rPr>
            <w:rStyle w:val="Hyperlink"/>
          </w:rPr>
          <w:t>RII Research Restart Plan</w:t>
        </w:r>
      </w:hyperlink>
      <w:r w:rsidR="00354376">
        <w:t xml:space="preserve">.  </w:t>
      </w:r>
      <w:r>
        <w:t xml:space="preserve">Understanding that a one-size fits-all set of guidelines may not capture the risks and benefits across </w:t>
      </w:r>
      <w:r w:rsidR="00354376">
        <w:t>all types of human subject</w:t>
      </w:r>
      <w:r>
        <w:t xml:space="preserve"> research, individual colleges</w:t>
      </w:r>
      <w:r w:rsidR="001F679F">
        <w:t>,</w:t>
      </w:r>
      <w:r>
        <w:t xml:space="preserve"> departments</w:t>
      </w:r>
      <w:r w:rsidR="001F679F">
        <w:t>, and laboratories</w:t>
      </w:r>
      <w:r>
        <w:t xml:space="preserve"> </w:t>
      </w:r>
      <w:r w:rsidR="001F679F">
        <w:t xml:space="preserve">may </w:t>
      </w:r>
      <w:r w:rsidR="001D276F">
        <w:t xml:space="preserve">need to </w:t>
      </w:r>
      <w:r>
        <w:t xml:space="preserve">tailor </w:t>
      </w:r>
      <w:r w:rsidR="001F679F">
        <w:t xml:space="preserve">their plans for mitigating risk </w:t>
      </w:r>
      <w:r>
        <w:t xml:space="preserve">to fit the </w:t>
      </w:r>
      <w:r w:rsidR="001F679F">
        <w:t>specific circumstances and scope of the</w:t>
      </w:r>
      <w:r w:rsidR="001D276F">
        <w:t>ir research activities</w:t>
      </w:r>
      <w:r w:rsidR="001F679F">
        <w:t xml:space="preserve">. </w:t>
      </w:r>
      <w:r w:rsidR="001D276F">
        <w:t xml:space="preserve"> Since </w:t>
      </w:r>
      <w:r>
        <w:t>h</w:t>
      </w:r>
      <w:r w:rsidR="001D276F">
        <w:t>uman subject</w:t>
      </w:r>
      <w:r>
        <w:t xml:space="preserve"> and clinical research may be conducted off-campus or within affiliated </w:t>
      </w:r>
      <w:r w:rsidR="001D276F">
        <w:t>medical units, research teams should also be familiar with and follow t</w:t>
      </w:r>
      <w:r>
        <w:t>he guidelines, procedures and timel</w:t>
      </w:r>
      <w:r w:rsidR="001F679F">
        <w:t>ines developed by those entities</w:t>
      </w:r>
      <w:r>
        <w:t xml:space="preserve">. As new information about COVID-19 becomes available and its prevalence within our environment </w:t>
      </w:r>
      <w:r w:rsidR="001F679F">
        <w:t xml:space="preserve">changes, these guidelines will be periodically re-evaluated </w:t>
      </w:r>
      <w:r w:rsidR="001D276F">
        <w:t xml:space="preserve">and </w:t>
      </w:r>
      <w:r w:rsidR="001F679F">
        <w:t xml:space="preserve">adjusted, and researchers may need to modify </w:t>
      </w:r>
      <w:r>
        <w:t xml:space="preserve">their safety plans.    </w:t>
      </w:r>
    </w:p>
    <w:p w14:paraId="5AB2478C" w14:textId="77777777" w:rsidR="005314DA" w:rsidRDefault="005314DA" w:rsidP="005314DA"/>
    <w:p w14:paraId="1C11008E" w14:textId="0F5419C3" w:rsidR="00E365CD" w:rsidRDefault="00937A76" w:rsidP="008F4DCD">
      <w:pPr>
        <w:rPr>
          <w:b/>
          <w:sz w:val="28"/>
          <w:szCs w:val="28"/>
        </w:rPr>
      </w:pPr>
      <w:r>
        <w:t xml:space="preserve">Visit the </w:t>
      </w:r>
      <w:hyperlink r:id="rId11" w:history="1">
        <w:r w:rsidR="001F679F">
          <w:rPr>
            <w:rStyle w:val="Hyperlink"/>
          </w:rPr>
          <w:t>RII Research Restart Website</w:t>
        </w:r>
      </w:hyperlink>
      <w:r>
        <w:t xml:space="preserve"> for </w:t>
      </w:r>
      <w:r w:rsidR="00354376">
        <w:t xml:space="preserve">the </w:t>
      </w:r>
      <w:r w:rsidR="001D276F">
        <w:t xml:space="preserve">RII </w:t>
      </w:r>
      <w:r>
        <w:t>Research Restart Plan, COVID-19 Re-Entry Checklist, Partici</w:t>
      </w:r>
      <w:r w:rsidR="001D276F">
        <w:t xml:space="preserve">pant Wellness Screen, </w:t>
      </w:r>
      <w:r>
        <w:t>IRB-approved materials</w:t>
      </w:r>
      <w:r w:rsidR="001D276F">
        <w:t>, and other related information</w:t>
      </w:r>
      <w:r>
        <w:t>.</w:t>
      </w:r>
    </w:p>
    <w:p w14:paraId="1AEDC4DD" w14:textId="77777777" w:rsidR="00E365CD" w:rsidRDefault="00E365CD" w:rsidP="008F4DCD">
      <w:pPr>
        <w:rPr>
          <w:b/>
          <w:sz w:val="28"/>
          <w:szCs w:val="28"/>
        </w:rPr>
      </w:pPr>
    </w:p>
    <w:p w14:paraId="00ED2F21" w14:textId="2AEDA1EA" w:rsidR="00D4471C" w:rsidRPr="00D722E9" w:rsidRDefault="00D4471C" w:rsidP="00D4471C">
      <w:pPr>
        <w:pStyle w:val="ListParagraph"/>
        <w:numPr>
          <w:ilvl w:val="0"/>
          <w:numId w:val="14"/>
        </w:numPr>
      </w:pPr>
      <w:r w:rsidRPr="00A55D91">
        <w:rPr>
          <w:b/>
        </w:rPr>
        <w:t>All investigators</w:t>
      </w:r>
      <w:r>
        <w:t xml:space="preserve"> are required to </w:t>
      </w:r>
      <w:r w:rsidR="00791BC6">
        <w:t>complete the</w:t>
      </w:r>
      <w:r w:rsidR="00937A76">
        <w:t xml:space="preserve"> </w:t>
      </w:r>
      <w:r>
        <w:t xml:space="preserve">COVID-19 </w:t>
      </w:r>
      <w:r w:rsidRPr="00D722E9">
        <w:t>Re-Entry Checklist for Commencing Research</w:t>
      </w:r>
      <w:r>
        <w:t xml:space="preserve"> prior to restarting studies</w:t>
      </w:r>
      <w:r w:rsidR="00DF2A9E">
        <w:t xml:space="preserve">, regardless of </w:t>
      </w:r>
      <w:r>
        <w:t>whether or not an RII Essential Research Waiver has already been obtained</w:t>
      </w:r>
      <w:r w:rsidRPr="00D722E9">
        <w:t xml:space="preserve">. </w:t>
      </w:r>
    </w:p>
    <w:p w14:paraId="6E9F32FF" w14:textId="77777777" w:rsidR="00D4471C" w:rsidRDefault="00D4471C" w:rsidP="00D4471C">
      <w:pPr>
        <w:pStyle w:val="ListParagraph"/>
        <w:numPr>
          <w:ilvl w:val="0"/>
          <w:numId w:val="14"/>
        </w:numPr>
      </w:pPr>
      <w:r w:rsidRPr="00D722E9">
        <w:t xml:space="preserve">Researchers should use the table below to determine the highest </w:t>
      </w:r>
      <w:r w:rsidRPr="007511A1">
        <w:rPr>
          <w:i/>
        </w:rPr>
        <w:t xml:space="preserve">potential </w:t>
      </w:r>
      <w:r w:rsidRPr="00D722E9">
        <w:t>level of COVID-19 exposure risk for both resear</w:t>
      </w:r>
      <w:r>
        <w:t>ch personnel and participants.</w:t>
      </w:r>
    </w:p>
    <w:p w14:paraId="103B3164" w14:textId="6F6577E3" w:rsidR="00DF2A9E" w:rsidRPr="002443A3" w:rsidRDefault="001D276F" w:rsidP="002443A3">
      <w:pPr>
        <w:pStyle w:val="ListParagraph"/>
        <w:numPr>
          <w:ilvl w:val="0"/>
          <w:numId w:val="14"/>
        </w:numPr>
      </w:pPr>
      <w:r>
        <w:t xml:space="preserve">The table </w:t>
      </w:r>
      <w:r w:rsidR="003F0FCF">
        <w:t xml:space="preserve">provides guidance on the </w:t>
      </w:r>
      <w:r w:rsidR="003F0FCF" w:rsidRPr="00791BC6">
        <w:rPr>
          <w:i/>
        </w:rPr>
        <w:t>minimum</w:t>
      </w:r>
      <w:r>
        <w:rPr>
          <w:i/>
        </w:rPr>
        <w:t xml:space="preserve"> required</w:t>
      </w:r>
      <w:r w:rsidR="003F0FCF" w:rsidRPr="00791BC6">
        <w:rPr>
          <w:i/>
        </w:rPr>
        <w:t xml:space="preserve"> strategies</w:t>
      </w:r>
      <w:r w:rsidR="003F0FCF">
        <w:t xml:space="preserve"> for mitigating risk for each level of COVID-19 exposure risk.  </w:t>
      </w:r>
      <w:r w:rsidR="00230DD5">
        <w:t xml:space="preserve">Some situations may require </w:t>
      </w:r>
      <w:r w:rsidR="002443A3">
        <w:t xml:space="preserve">additional mitigation strategies (such as COVID-19 testing), </w:t>
      </w:r>
      <w:r w:rsidR="002443A3" w:rsidRPr="002443A3">
        <w:t>which should be a</w:t>
      </w:r>
      <w:r w:rsidR="002443A3">
        <w:t>ssessed by the principle investigator</w:t>
      </w:r>
      <w:r w:rsidR="00BF1FC0">
        <w:t xml:space="preserve"> and research unit</w:t>
      </w:r>
      <w:r w:rsidR="002443A3">
        <w:t xml:space="preserve">.  </w:t>
      </w:r>
    </w:p>
    <w:p w14:paraId="1E937B40" w14:textId="2DF62B7A" w:rsidR="00D4471C" w:rsidRPr="00D722E9" w:rsidRDefault="00DF2A9E" w:rsidP="00DF2A9E">
      <w:pPr>
        <w:pStyle w:val="ListParagraph"/>
        <w:numPr>
          <w:ilvl w:val="0"/>
          <w:numId w:val="14"/>
        </w:numPr>
      </w:pPr>
      <w:r>
        <w:t>For s</w:t>
      </w:r>
      <w:r w:rsidR="00D4471C">
        <w:t xml:space="preserve">tudies </w:t>
      </w:r>
      <w:r>
        <w:t xml:space="preserve">that </w:t>
      </w:r>
      <w:r w:rsidR="00D4471C">
        <w:t xml:space="preserve">include participants or research staff with elevated risk for COVID-19, additional safeguards should </w:t>
      </w:r>
      <w:r w:rsidR="00CD3049">
        <w:t>be considered.  B</w:t>
      </w:r>
      <w:r w:rsidR="00D4471C">
        <w:t xml:space="preserve">ased on current </w:t>
      </w:r>
      <w:hyperlink r:id="rId12" w:history="1">
        <w:r w:rsidR="00D4471C" w:rsidRPr="00937A76">
          <w:rPr>
            <w:rStyle w:val="Hyperlink"/>
          </w:rPr>
          <w:t>CDC guidelines</w:t>
        </w:r>
      </w:hyperlink>
      <w:r w:rsidR="00791BC6">
        <w:t>,</w:t>
      </w:r>
      <w:r>
        <w:t xml:space="preserve"> </w:t>
      </w:r>
      <w:r w:rsidR="00CD3049">
        <w:t>elevated risk is defined as all</w:t>
      </w:r>
      <w:r>
        <w:t xml:space="preserve"> persons</w:t>
      </w:r>
      <w:r w:rsidR="00791BC6">
        <w:t xml:space="preserve"> age 65 or older</w:t>
      </w:r>
      <w:r w:rsidR="00D4471C" w:rsidRPr="00D4471C">
        <w:t xml:space="preserve">, or persons of any age with a medical condition including lung disease or moderate-severe asthma, serious heart condition, immune system compromise, obesity (BMI &gt;39), diabetes, </w:t>
      </w:r>
      <w:r>
        <w:t xml:space="preserve">or </w:t>
      </w:r>
      <w:r w:rsidR="00D4471C" w:rsidRPr="00D4471C">
        <w:t>chronic kidney or liver disease</w:t>
      </w:r>
      <w:r>
        <w:t>.</w:t>
      </w:r>
    </w:p>
    <w:p w14:paraId="7A3B8900" w14:textId="440A2522" w:rsidR="00981A89" w:rsidRDefault="003F0FCF" w:rsidP="00CD6EA3">
      <w:pPr>
        <w:pStyle w:val="ListParagraph"/>
        <w:numPr>
          <w:ilvl w:val="0"/>
          <w:numId w:val="14"/>
        </w:numPr>
      </w:pPr>
      <w:r>
        <w:t>W</w:t>
      </w:r>
      <w:r w:rsidR="008F4DCD" w:rsidRPr="00D722E9">
        <w:t>henever possible, research involving human subjects</w:t>
      </w:r>
      <w:r w:rsidR="00C73979" w:rsidRPr="00D722E9">
        <w:t xml:space="preserve"> </w:t>
      </w:r>
      <w:r w:rsidR="00CD6EA3" w:rsidRPr="00D722E9">
        <w:t xml:space="preserve">should be conducted </w:t>
      </w:r>
      <w:r w:rsidR="00230DD5">
        <w:t>using methods</w:t>
      </w:r>
      <w:r w:rsidR="00CD6EA3" w:rsidRPr="00D722E9">
        <w:t xml:space="preserve"> that remove or diminish contact between researchers and participants.</w:t>
      </w:r>
    </w:p>
    <w:p w14:paraId="20F96F68" w14:textId="1E15A4E7" w:rsidR="00DF2A9E" w:rsidRDefault="00981A89" w:rsidP="00DF2A9E">
      <w:pPr>
        <w:pStyle w:val="ListParagraph"/>
        <w:numPr>
          <w:ilvl w:val="0"/>
          <w:numId w:val="14"/>
        </w:numPr>
      </w:pPr>
      <w:r>
        <w:t xml:space="preserve">Some studies </w:t>
      </w:r>
      <w:r w:rsidR="00230DD5">
        <w:t xml:space="preserve">may </w:t>
      </w:r>
      <w:r>
        <w:t>require more than one</w:t>
      </w:r>
      <w:r w:rsidR="00F11A54">
        <w:t xml:space="preserve"> research participant </w:t>
      </w:r>
      <w:r w:rsidR="001303C2">
        <w:t xml:space="preserve">to be present in the </w:t>
      </w:r>
      <w:r w:rsidR="00230DD5">
        <w:t xml:space="preserve">study area </w:t>
      </w:r>
      <w:r w:rsidR="001303C2">
        <w:t>at a</w:t>
      </w:r>
      <w:r w:rsidR="00230DD5">
        <w:t xml:space="preserve"> given</w:t>
      </w:r>
      <w:r w:rsidR="001303C2">
        <w:t xml:space="preserve"> time</w:t>
      </w:r>
      <w:r>
        <w:t xml:space="preserve">.  For participants who reside together (e.g., </w:t>
      </w:r>
      <w:r w:rsidR="00791BC6">
        <w:t xml:space="preserve">a </w:t>
      </w:r>
      <w:r>
        <w:t>pa</w:t>
      </w:r>
      <w:r w:rsidR="001303C2">
        <w:t xml:space="preserve">rent </w:t>
      </w:r>
      <w:r w:rsidR="00791BC6">
        <w:t>accompanying a child, or spouses</w:t>
      </w:r>
      <w:r w:rsidR="008D2C7E">
        <w:t>), no a</w:t>
      </w:r>
      <w:r w:rsidR="00F11A54">
        <w:t xml:space="preserve">dditional precautions are necessary.  For participants who do not </w:t>
      </w:r>
      <w:r w:rsidR="003F0FCF">
        <w:t>reside together,</w:t>
      </w:r>
      <w:r w:rsidR="0071694D">
        <w:t xml:space="preserve"> social distancing</w:t>
      </w:r>
      <w:r w:rsidR="003F0FCF">
        <w:t xml:space="preserve"> </w:t>
      </w:r>
      <w:r w:rsidR="00341D38">
        <w:t>at a minimum of</w:t>
      </w:r>
      <w:r w:rsidR="003F0FCF">
        <w:t xml:space="preserve"> 6 ft b</w:t>
      </w:r>
      <w:r w:rsidR="001303C2">
        <w:t xml:space="preserve">etween participants </w:t>
      </w:r>
      <w:r w:rsidR="00F11A54">
        <w:t xml:space="preserve">must </w:t>
      </w:r>
      <w:r w:rsidR="00764C3C">
        <w:t xml:space="preserve"> </w:t>
      </w:r>
      <w:r w:rsidR="00F11A54">
        <w:t xml:space="preserve">be strictly </w:t>
      </w:r>
      <w:r w:rsidR="00791BC6">
        <w:t>maintained and participants should wear a face covering at all times.</w:t>
      </w:r>
    </w:p>
    <w:p w14:paraId="2061C4E0" w14:textId="1D63521C" w:rsidR="001303C2" w:rsidRPr="00D722E9" w:rsidRDefault="00DF2A9E" w:rsidP="00DF2A9E">
      <w:pPr>
        <w:pStyle w:val="ListParagraph"/>
        <w:numPr>
          <w:ilvl w:val="0"/>
          <w:numId w:val="14"/>
        </w:numPr>
      </w:pPr>
      <w:r>
        <w:t>S</w:t>
      </w:r>
      <w:r w:rsidR="001303C2">
        <w:t xml:space="preserve">tudies requiring more than </w:t>
      </w:r>
      <w:r>
        <w:t>one research visit</w:t>
      </w:r>
      <w:r>
        <w:rPr>
          <w:rStyle w:val="CommentReference"/>
        </w:rPr>
        <w:t xml:space="preserve"> </w:t>
      </w:r>
      <w:r>
        <w:t>may use mi</w:t>
      </w:r>
      <w:r w:rsidR="001303C2">
        <w:t>tigation strategies that are appropriate to eac</w:t>
      </w:r>
      <w:r w:rsidR="00E365CD">
        <w:t>h</w:t>
      </w:r>
      <w:r>
        <w:t xml:space="preserve"> visit</w:t>
      </w:r>
      <w:r w:rsidR="001303C2">
        <w:t>.  For example, the requirements for behavioral testing may be different than a visit for blood draw and/or MRI.</w:t>
      </w:r>
    </w:p>
    <w:p w14:paraId="288F855F" w14:textId="0C746504" w:rsidR="00CD3049" w:rsidRDefault="00CD3049" w:rsidP="00CD6EA3">
      <w:pPr>
        <w:pStyle w:val="ListParagraph"/>
        <w:numPr>
          <w:ilvl w:val="0"/>
          <w:numId w:val="14"/>
        </w:numPr>
      </w:pPr>
      <w:r>
        <w:t>A</w:t>
      </w:r>
      <w:r w:rsidR="0071694D">
        <w:t xml:space="preserve">dequate </w:t>
      </w:r>
      <w:r w:rsidR="008D2C7E">
        <w:t>soci</w:t>
      </w:r>
      <w:r w:rsidR="0057040B">
        <w:t xml:space="preserve">al distancing </w:t>
      </w:r>
      <w:r>
        <w:t>(</w:t>
      </w:r>
      <w:r w:rsidR="00D1770B">
        <w:t>minimum</w:t>
      </w:r>
      <w:r>
        <w:t xml:space="preserve"> 6 ft) </w:t>
      </w:r>
      <w:r w:rsidR="0071694D">
        <w:t xml:space="preserve">between </w:t>
      </w:r>
      <w:r>
        <w:t xml:space="preserve">all </w:t>
      </w:r>
      <w:r w:rsidR="0071694D">
        <w:t>participants and research personnel</w:t>
      </w:r>
      <w:r>
        <w:t xml:space="preserve"> should be maintained unless person-to-person cont</w:t>
      </w:r>
      <w:r w:rsidR="00845615">
        <w:t>act is necessary for</w:t>
      </w:r>
      <w:r w:rsidR="00B949FB">
        <w:t xml:space="preserve"> </w:t>
      </w:r>
      <w:r w:rsidR="00845615">
        <w:t>a</w:t>
      </w:r>
      <w:r w:rsidR="00B949FB">
        <w:t xml:space="preserve"> study</w:t>
      </w:r>
      <w:r>
        <w:t xml:space="preserve"> (see </w:t>
      </w:r>
      <w:r w:rsidR="00B949FB">
        <w:t xml:space="preserve">examples in the </w:t>
      </w:r>
      <w:r>
        <w:t xml:space="preserve">table below).  Plans for maintaining social distancing </w:t>
      </w:r>
      <w:r w:rsidR="0057040B">
        <w:t>should consid</w:t>
      </w:r>
      <w:r w:rsidR="008D2C7E">
        <w:t xml:space="preserve">er </w:t>
      </w:r>
      <w:r w:rsidR="0071694D">
        <w:t xml:space="preserve">additional factors, such </w:t>
      </w:r>
      <w:r w:rsidR="008D2C7E">
        <w:t>how p</w:t>
      </w:r>
      <w:r w:rsidR="00A840F5" w:rsidRPr="00D722E9">
        <w:t>articipants will travel t</w:t>
      </w:r>
      <w:r w:rsidR="0071694D">
        <w:t>o and from the research setting</w:t>
      </w:r>
      <w:r w:rsidR="00A840F5" w:rsidRPr="00D722E9">
        <w:t>,</w:t>
      </w:r>
      <w:r w:rsidR="006D0CE0" w:rsidRPr="00D722E9">
        <w:t xml:space="preserve"> ingress/egress from the laboratory </w:t>
      </w:r>
      <w:r w:rsidR="0071694D">
        <w:t>and building, use of waiting areas, and scheduling additional time be</w:t>
      </w:r>
      <w:r>
        <w:t xml:space="preserve">tween visits to allow for </w:t>
      </w:r>
      <w:r w:rsidR="0071694D">
        <w:t>disinfecting of spaces.</w:t>
      </w:r>
    </w:p>
    <w:p w14:paraId="2B4BF363" w14:textId="049EE8F0" w:rsidR="00CD6EA3" w:rsidRPr="00D722E9" w:rsidRDefault="00B949FB" w:rsidP="00CD6EA3">
      <w:pPr>
        <w:pStyle w:val="ListParagraph"/>
        <w:numPr>
          <w:ilvl w:val="0"/>
          <w:numId w:val="14"/>
        </w:numPr>
      </w:pPr>
      <w:r>
        <w:t xml:space="preserve">All research staff should review </w:t>
      </w:r>
      <w:hyperlink r:id="rId13" w:history="1">
        <w:r w:rsidR="002443A3">
          <w:rPr>
            <w:rStyle w:val="Hyperlink"/>
          </w:rPr>
          <w:t>CDC guidance on handwashing</w:t>
        </w:r>
      </w:hyperlink>
      <w:r>
        <w:t xml:space="preserve"> and </w:t>
      </w:r>
      <w:r w:rsidR="002443A3">
        <w:t xml:space="preserve">the </w:t>
      </w:r>
      <w:r>
        <w:t xml:space="preserve">use of hand </w:t>
      </w:r>
      <w:r w:rsidR="007B6564">
        <w:t>sanitizer</w:t>
      </w:r>
      <w:r w:rsidR="00845615">
        <w:t xml:space="preserve">. </w:t>
      </w:r>
      <w:r w:rsidR="001D276F">
        <w:t xml:space="preserve"> Researchers should </w:t>
      </w:r>
      <w:r w:rsidR="003A31C9">
        <w:t>wash their hands before/</w:t>
      </w:r>
      <w:r w:rsidR="001D276F">
        <w:t>after each research vi</w:t>
      </w:r>
      <w:r w:rsidR="003A31C9">
        <w:t>sit, and immediately before/</w:t>
      </w:r>
      <w:r w:rsidR="001D276F">
        <w:t>after any direct physical contact with a research participant.</w:t>
      </w:r>
    </w:p>
    <w:p w14:paraId="325B9A7A" w14:textId="5761162A" w:rsidR="00557EA4" w:rsidRPr="00D722E9" w:rsidRDefault="006778BB" w:rsidP="006D46D8">
      <w:pPr>
        <w:pStyle w:val="ListParagraph"/>
        <w:numPr>
          <w:ilvl w:val="0"/>
          <w:numId w:val="14"/>
        </w:numPr>
      </w:pPr>
      <w:r>
        <w:t>All research staff</w:t>
      </w:r>
      <w:r w:rsidR="00CD6EA3" w:rsidRPr="00D722E9">
        <w:t xml:space="preserve"> </w:t>
      </w:r>
      <w:r w:rsidR="0071694D">
        <w:t xml:space="preserve">should </w:t>
      </w:r>
      <w:r w:rsidR="00845615">
        <w:t>self-</w:t>
      </w:r>
      <w:r w:rsidR="000A5271">
        <w:t>screen</w:t>
      </w:r>
      <w:r>
        <w:t xml:space="preserve"> daily using the </w:t>
      </w:r>
      <w:r w:rsidR="00845615">
        <w:t xml:space="preserve">University of Arizona </w:t>
      </w:r>
      <w:r w:rsidR="000A5271">
        <w:t>COVID-19 screening too</w:t>
      </w:r>
      <w:r w:rsidR="005314DA">
        <w:t xml:space="preserve"> available on the </w:t>
      </w:r>
      <w:hyperlink r:id="rId14" w:history="1">
        <w:r w:rsidR="005314DA" w:rsidRPr="00937A76">
          <w:rPr>
            <w:rStyle w:val="Hyperlink"/>
          </w:rPr>
          <w:t>RII Research Restart website</w:t>
        </w:r>
      </w:hyperlink>
      <w:r>
        <w:t>.  Researchers who are experiencing</w:t>
      </w:r>
      <w:r w:rsidR="00557EA4" w:rsidRPr="00D722E9">
        <w:t xml:space="preserve"> </w:t>
      </w:r>
      <w:r>
        <w:t>COVID-19 symptoms or have been</w:t>
      </w:r>
      <w:r w:rsidR="007B3978" w:rsidRPr="00D722E9">
        <w:t xml:space="preserve"> expose</w:t>
      </w:r>
      <w:r>
        <w:t>d</w:t>
      </w:r>
      <w:r w:rsidR="007B3978" w:rsidRPr="00D722E9">
        <w:t xml:space="preserve"> to individuals with </w:t>
      </w:r>
      <w:r>
        <w:t xml:space="preserve">COVID-19 </w:t>
      </w:r>
      <w:r w:rsidR="00557EA4" w:rsidRPr="00D722E9">
        <w:t>should refrain from engaging in face-t</w:t>
      </w:r>
      <w:r>
        <w:t>o-face human research activities for 14 days</w:t>
      </w:r>
      <w:r w:rsidR="001303C2">
        <w:t>.</w:t>
      </w:r>
    </w:p>
    <w:p w14:paraId="5258CDB4" w14:textId="5AD95D99" w:rsidR="00557EA4" w:rsidRPr="00D722E9" w:rsidRDefault="00557EA4" w:rsidP="001303C2">
      <w:pPr>
        <w:pStyle w:val="ListParagraph"/>
        <w:numPr>
          <w:ilvl w:val="0"/>
          <w:numId w:val="14"/>
        </w:numPr>
      </w:pPr>
      <w:r w:rsidRPr="00D722E9">
        <w:lastRenderedPageBreak/>
        <w:t xml:space="preserve">Participants should be </w:t>
      </w:r>
      <w:r w:rsidR="006778BB">
        <w:t>screened by phone using the Participant Wellness Screen</w:t>
      </w:r>
      <w:r w:rsidR="000D4635" w:rsidRPr="00D722E9">
        <w:t xml:space="preserve"> </w:t>
      </w:r>
      <w:r w:rsidR="006778BB">
        <w:t>prior to attending a face-to-face research vi</w:t>
      </w:r>
      <w:r w:rsidR="00845615">
        <w:t xml:space="preserve">sit.  Additionally, the Participant Wellness Screen </w:t>
      </w:r>
      <w:r w:rsidR="006778BB">
        <w:t>should be repeated in-person at the beginning of each research visit.  Participants who are experiencing</w:t>
      </w:r>
      <w:r w:rsidR="006778BB" w:rsidRPr="00D722E9">
        <w:t xml:space="preserve"> </w:t>
      </w:r>
      <w:r w:rsidR="006778BB">
        <w:t xml:space="preserve">COVID-19 symptoms or have been </w:t>
      </w:r>
      <w:r w:rsidR="006778BB" w:rsidRPr="00D722E9">
        <w:t>expos</w:t>
      </w:r>
      <w:r w:rsidR="00A55D91">
        <w:t>ed</w:t>
      </w:r>
      <w:r w:rsidR="006778BB" w:rsidRPr="00D722E9">
        <w:t xml:space="preserve"> to individuals with </w:t>
      </w:r>
      <w:r w:rsidR="006778BB">
        <w:t xml:space="preserve">COVID-19 should </w:t>
      </w:r>
      <w:r w:rsidR="00A55D91">
        <w:t xml:space="preserve">be rescheduled at least 14 days later. </w:t>
      </w:r>
      <w:r w:rsidR="001303C2">
        <w:t xml:space="preserve">The exception is research focusing on </w:t>
      </w:r>
      <w:r w:rsidR="00A55D91">
        <w:t xml:space="preserve">participants with a diagnosis of COVID-19 confirmed or under investigation, </w:t>
      </w:r>
      <w:r w:rsidR="003A31C9">
        <w:t>as</w:t>
      </w:r>
      <w:r w:rsidR="001303C2">
        <w:t xml:space="preserve"> described</w:t>
      </w:r>
      <w:r w:rsidR="00845615">
        <w:t xml:space="preserve"> in the HIGHEST risk category in</w:t>
      </w:r>
      <w:r w:rsidR="001303C2">
        <w:t xml:space="preserve"> the </w:t>
      </w:r>
      <w:r w:rsidR="00B20736">
        <w:t>table below.</w:t>
      </w:r>
    </w:p>
    <w:p w14:paraId="4413D036" w14:textId="3F63E4CB" w:rsidR="005314DA" w:rsidRDefault="006443DE" w:rsidP="001D276F">
      <w:pPr>
        <w:pStyle w:val="ListParagraph"/>
        <w:numPr>
          <w:ilvl w:val="0"/>
          <w:numId w:val="14"/>
        </w:numPr>
      </w:pPr>
      <w:r w:rsidRPr="00D722E9">
        <w:t>P</w:t>
      </w:r>
      <w:r w:rsidR="007B3978" w:rsidRPr="00D722E9">
        <w:t xml:space="preserve">articipants must be fully informed of the </w:t>
      </w:r>
      <w:r w:rsidR="00557EA4" w:rsidRPr="00D722E9">
        <w:t xml:space="preserve">COVID-19 </w:t>
      </w:r>
      <w:r w:rsidR="007B3978" w:rsidRPr="00D722E9">
        <w:t xml:space="preserve">risks and the mitigation </w:t>
      </w:r>
      <w:r w:rsidR="00557EA4" w:rsidRPr="00D722E9">
        <w:t>strategies that will be employed during the study</w:t>
      </w:r>
      <w:r w:rsidR="003A31C9">
        <w:t>, utilizing</w:t>
      </w:r>
      <w:r w:rsidR="00A55D91">
        <w:t xml:space="preserve"> the </w:t>
      </w:r>
      <w:r w:rsidR="001D276F">
        <w:t>information sheet and</w:t>
      </w:r>
      <w:r w:rsidR="00845615">
        <w:t xml:space="preserve"> </w:t>
      </w:r>
      <w:r w:rsidR="003A31C9">
        <w:t xml:space="preserve">script provided by IRB (available on the </w:t>
      </w:r>
      <w:hyperlink r:id="rId15" w:history="1">
        <w:r w:rsidR="005314DA" w:rsidRPr="00937A76">
          <w:rPr>
            <w:rStyle w:val="Hyperlink"/>
          </w:rPr>
          <w:t>RII Research Restart website</w:t>
        </w:r>
      </w:hyperlink>
      <w:r w:rsidR="003A31C9">
        <w:t>)</w:t>
      </w:r>
      <w:r w:rsidR="005314DA">
        <w:t>.</w:t>
      </w:r>
      <w:r w:rsidR="001D276F" w:rsidRPr="001D276F">
        <w:t xml:space="preserve"> </w:t>
      </w:r>
      <w:r w:rsidR="001D276F">
        <w:t xml:space="preserve"> </w:t>
      </w:r>
      <w:r w:rsidR="001D276F" w:rsidRPr="001D276F">
        <w:t xml:space="preserve">Use of the </w:t>
      </w:r>
      <w:r w:rsidR="001D276F">
        <w:t xml:space="preserve">IRB approved materials does NOT </w:t>
      </w:r>
      <w:r w:rsidR="001D276F" w:rsidRPr="001D276F">
        <w:t>require separate IRB approva</w:t>
      </w:r>
      <w:r w:rsidR="001D276F">
        <w:t>l.  Researchers should document that each participant has indicated that they understand the information and accept the risk</w:t>
      </w:r>
      <w:r w:rsidR="001D276F" w:rsidRPr="00D722E9">
        <w:t xml:space="preserve">.  </w:t>
      </w:r>
      <w:r w:rsidR="001D276F" w:rsidRPr="001D276F">
        <w:t xml:space="preserve">  </w:t>
      </w:r>
    </w:p>
    <w:p w14:paraId="1E0BB535" w14:textId="19F4169A" w:rsidR="00DF72CA" w:rsidRDefault="00845615" w:rsidP="006A283D">
      <w:pPr>
        <w:pStyle w:val="ListParagraph"/>
        <w:numPr>
          <w:ilvl w:val="0"/>
          <w:numId w:val="14"/>
        </w:numPr>
      </w:pPr>
      <w:r>
        <w:t>Training</w:t>
      </w:r>
      <w:r w:rsidR="00B14836">
        <w:t xml:space="preserve"> </w:t>
      </w:r>
      <w:r w:rsidR="001303C2">
        <w:t>fo</w:t>
      </w:r>
      <w:r w:rsidR="00D1770B">
        <w:t xml:space="preserve">r </w:t>
      </w:r>
      <w:r w:rsidR="001303C2">
        <w:t xml:space="preserve">personnel engaged in </w:t>
      </w:r>
      <w:r w:rsidR="00D1770B">
        <w:t xml:space="preserve">research in the </w:t>
      </w:r>
      <w:r w:rsidR="001303C2">
        <w:t xml:space="preserve">MEDIUM, HIGH, or HIGHEST </w:t>
      </w:r>
      <w:r w:rsidR="00D1770B">
        <w:t xml:space="preserve">COVID-19 </w:t>
      </w:r>
      <w:r>
        <w:t xml:space="preserve">exposure risk </w:t>
      </w:r>
      <w:r w:rsidR="001303C2">
        <w:t xml:space="preserve">categories </w:t>
      </w:r>
      <w:r>
        <w:t xml:space="preserve">(see table below) </w:t>
      </w:r>
      <w:r w:rsidR="001303C2">
        <w:t>should include detailed training on the correct procedures for</w:t>
      </w:r>
      <w:r>
        <w:t xml:space="preserve"> hand washing,</w:t>
      </w:r>
      <w:r w:rsidR="001303C2">
        <w:t xml:space="preserve"> donning and </w:t>
      </w:r>
      <w:r w:rsidR="00657FC6">
        <w:t xml:space="preserve">doffing </w:t>
      </w:r>
      <w:r w:rsidR="001303C2">
        <w:t>PPE</w:t>
      </w:r>
      <w:r w:rsidR="00A55D91">
        <w:t>, as well as adequate cleaning and disinfecting protocols</w:t>
      </w:r>
      <w:r w:rsidR="001303C2">
        <w:t xml:space="preserve">.  It is strongly encouraged that laboratories use a “buddy system” to ensure that correct PPE procedures </w:t>
      </w:r>
      <w:r w:rsidR="00A55D91">
        <w:t xml:space="preserve">and disinfecting protocols </w:t>
      </w:r>
      <w:r w:rsidR="001303C2">
        <w:t>are followed by all personnel.</w:t>
      </w:r>
      <w:r w:rsidR="00B14836">
        <w:t xml:space="preserve"> </w:t>
      </w:r>
      <w:r w:rsidR="00357863" w:rsidRPr="00D722E9">
        <w:t xml:space="preserve">   </w:t>
      </w:r>
      <w:r w:rsidR="007B3978" w:rsidRPr="00D722E9">
        <w:t xml:space="preserve"> </w:t>
      </w:r>
    </w:p>
    <w:p w14:paraId="4F68EC06" w14:textId="04B67DE0" w:rsidR="00A55D91" w:rsidRPr="00D722E9" w:rsidRDefault="00A55D91" w:rsidP="00A840F5">
      <w:pPr>
        <w:pStyle w:val="ListParagraph"/>
        <w:numPr>
          <w:ilvl w:val="0"/>
          <w:numId w:val="14"/>
        </w:numPr>
      </w:pPr>
      <w:r>
        <w:t xml:space="preserve">Community-based studies </w:t>
      </w:r>
      <w:r w:rsidR="00F503F4">
        <w:t>or studi</w:t>
      </w:r>
      <w:r w:rsidR="002443A3">
        <w:t xml:space="preserve">es that take place </w:t>
      </w:r>
      <w:r w:rsidR="003A31C9">
        <w:t xml:space="preserve">at </w:t>
      </w:r>
      <w:r w:rsidR="007B6564">
        <w:t>affiliated</w:t>
      </w:r>
      <w:r w:rsidR="003310AF">
        <w:t xml:space="preserve"> </w:t>
      </w:r>
      <w:r w:rsidR="002443A3">
        <w:t xml:space="preserve">facilities </w:t>
      </w:r>
      <w:r>
        <w:t xml:space="preserve">should follow these same guidelines with the addition of any </w:t>
      </w:r>
      <w:r w:rsidR="00F503F4">
        <w:t xml:space="preserve">guidance and/or </w:t>
      </w:r>
      <w:r>
        <w:t xml:space="preserve">rules imposed by the community partners and/or </w:t>
      </w:r>
      <w:r w:rsidR="003310AF">
        <w:t>other facilities</w:t>
      </w:r>
      <w:r>
        <w:t>.</w:t>
      </w:r>
      <w:r w:rsidR="00F503F4">
        <w:t xml:space="preserve">  </w:t>
      </w:r>
      <w:r w:rsidR="002443A3">
        <w:t>These include</w:t>
      </w:r>
      <w:r w:rsidR="003310AF">
        <w:t>, among others,</w:t>
      </w:r>
      <w:r w:rsidR="002443A3">
        <w:t xml:space="preserve"> Banner-University Medical Center, Banner Alzheimer’s Institute, </w:t>
      </w:r>
      <w:r w:rsidR="003310AF">
        <w:t xml:space="preserve">Banner Sun Health Research Institute, </w:t>
      </w:r>
      <w:r w:rsidR="002443A3">
        <w:t>University of Arizona Cancer Center, and S</w:t>
      </w:r>
      <w:r w:rsidR="003310AF">
        <w:t>arver Heart Center</w:t>
      </w:r>
      <w:r w:rsidR="002443A3">
        <w:t>.</w:t>
      </w:r>
    </w:p>
    <w:p w14:paraId="2EB57B29" w14:textId="77777777" w:rsidR="009B58B8" w:rsidRDefault="009B58B8" w:rsidP="00F757F6"/>
    <w:p w14:paraId="2D5DF602" w14:textId="77777777" w:rsidR="009F7DD1" w:rsidRDefault="009F7DD1" w:rsidP="00F757F6"/>
    <w:p w14:paraId="093FFF6C" w14:textId="27B845CE" w:rsidR="009F7DD1" w:rsidRDefault="009F7DD1" w:rsidP="00F757F6">
      <w:pPr>
        <w:sectPr w:rsidR="009F7DD1" w:rsidSect="009B58B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.  </w:t>
      </w:r>
    </w:p>
    <w:p w14:paraId="3DA5E3B2" w14:textId="1374F74D" w:rsidR="00F757F6" w:rsidRDefault="00F757F6" w:rsidP="00F757F6"/>
    <w:tbl>
      <w:tblPr>
        <w:tblStyle w:val="TableGrid"/>
        <w:tblpPr w:leftFromText="180" w:rightFromText="180" w:vertAnchor="text" w:horzAnchor="margin" w:tblpY="-9"/>
        <w:tblW w:w="13855" w:type="dxa"/>
        <w:tblLook w:val="04A0" w:firstRow="1" w:lastRow="0" w:firstColumn="1" w:lastColumn="0" w:noHBand="0" w:noVBand="1"/>
      </w:tblPr>
      <w:tblGrid>
        <w:gridCol w:w="2065"/>
        <w:gridCol w:w="6120"/>
        <w:gridCol w:w="5670"/>
      </w:tblGrid>
      <w:tr w:rsidR="00F503F4" w:rsidRPr="009F7F45" w14:paraId="77AA56B4" w14:textId="77777777" w:rsidTr="00D1770B">
        <w:trPr>
          <w:trHeight w:val="54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2E74B5" w:themeFill="accent1" w:themeFillShade="BF"/>
            <w:vAlign w:val="center"/>
          </w:tcPr>
          <w:p w14:paraId="36540723" w14:textId="3E8C3A81" w:rsidR="00F503F4" w:rsidRDefault="00F503F4" w:rsidP="00F503F4">
            <w:pPr>
              <w:rPr>
                <w:color w:val="FFFFFF" w:themeColor="background1"/>
              </w:rPr>
            </w:pPr>
            <w:r>
              <w:br w:type="column"/>
            </w:r>
            <w:r w:rsidRPr="00F503F4">
              <w:rPr>
                <w:color w:val="FFFFFF" w:themeColor="background1"/>
              </w:rPr>
              <w:t xml:space="preserve">CV-19 Exposure </w:t>
            </w:r>
            <w:r>
              <w:rPr>
                <w:color w:val="FFFFFF" w:themeColor="background1"/>
              </w:rPr>
              <w:t xml:space="preserve">Risk 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4AA15A9F" w14:textId="5EDEB486" w:rsidR="00F503F4" w:rsidRPr="006C1F31" w:rsidRDefault="00F503F4" w:rsidP="00F503F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Study Activities and Examples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50A29A69" w14:textId="76FB142A" w:rsidR="00F503F4" w:rsidRPr="006C1F31" w:rsidRDefault="00F503F4" w:rsidP="00F503F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Mitigation Strategies</w:t>
            </w:r>
          </w:p>
        </w:tc>
      </w:tr>
      <w:tr w:rsidR="00F503F4" w:rsidRPr="009F7F45" w14:paraId="584EFBF8" w14:textId="77777777" w:rsidTr="00D1770B">
        <w:tc>
          <w:tcPr>
            <w:tcW w:w="206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DAD9C21" w14:textId="77777777" w:rsidR="00F503F4" w:rsidRDefault="00F503F4" w:rsidP="00B525AB">
            <w:r>
              <w:t>None</w:t>
            </w:r>
          </w:p>
          <w:p w14:paraId="684B94E6" w14:textId="77777777" w:rsidR="00F503F4" w:rsidRPr="009F7F45" w:rsidRDefault="00F503F4" w:rsidP="00B525AB"/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69C1F83" w14:textId="77777777" w:rsidR="00F503F4" w:rsidRPr="006D0CE0" w:rsidRDefault="00F503F4" w:rsidP="00F503F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D0CE0">
              <w:rPr>
                <w:sz w:val="18"/>
                <w:szCs w:val="18"/>
              </w:rPr>
              <w:t>Studies conducted using fully online/distance methods or remote activities</w:t>
            </w:r>
          </w:p>
          <w:p w14:paraId="1E71A3E8" w14:textId="77777777" w:rsidR="00F503F4" w:rsidRPr="006D0CE0" w:rsidRDefault="00F503F4" w:rsidP="00B525AB">
            <w:pPr>
              <w:pStyle w:val="ListParagraph"/>
              <w:ind w:left="0"/>
              <w:rPr>
                <w:sz w:val="18"/>
                <w:szCs w:val="18"/>
              </w:rPr>
            </w:pPr>
            <w:r w:rsidRPr="006D0CE0">
              <w:rPr>
                <w:b/>
                <w:sz w:val="18"/>
                <w:szCs w:val="18"/>
              </w:rPr>
              <w:t>Example Activities:</w:t>
            </w:r>
            <w:r w:rsidRPr="006D0CE0">
              <w:rPr>
                <w:sz w:val="18"/>
                <w:szCs w:val="18"/>
              </w:rPr>
              <w:t xml:space="preserve">  Online surveys, web-based experimental tasks, virtual interviews and focus groups, phone interviews, telehealth, remote chart review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8A9C16B" w14:textId="77777777" w:rsidR="00F503F4" w:rsidRPr="003455D2" w:rsidRDefault="00F503F4" w:rsidP="00B525AB">
            <w:pPr>
              <w:rPr>
                <w:sz w:val="18"/>
                <w:szCs w:val="18"/>
              </w:rPr>
            </w:pPr>
            <w:r w:rsidRPr="003455D2">
              <w:rPr>
                <w:sz w:val="18"/>
                <w:szCs w:val="18"/>
              </w:rPr>
              <w:t>N/A</w:t>
            </w:r>
          </w:p>
        </w:tc>
      </w:tr>
      <w:tr w:rsidR="00F503F4" w:rsidRPr="009F7F45" w14:paraId="08032802" w14:textId="77777777" w:rsidTr="00D1770B">
        <w:tc>
          <w:tcPr>
            <w:tcW w:w="2065" w:type="dxa"/>
            <w:shd w:val="clear" w:color="auto" w:fill="EDEDED" w:themeFill="accent3" w:themeFillTint="33"/>
          </w:tcPr>
          <w:p w14:paraId="69253807" w14:textId="77777777" w:rsidR="00F503F4" w:rsidRPr="009F7F45" w:rsidRDefault="00F503F4" w:rsidP="00B525AB">
            <w:r>
              <w:t>Low</w:t>
            </w:r>
          </w:p>
        </w:tc>
        <w:tc>
          <w:tcPr>
            <w:tcW w:w="6120" w:type="dxa"/>
            <w:shd w:val="clear" w:color="auto" w:fill="EDEDED" w:themeFill="accent3" w:themeFillTint="33"/>
          </w:tcPr>
          <w:p w14:paraId="53E343B3" w14:textId="5920A9EB" w:rsidR="00F503F4" w:rsidRPr="006D0CE0" w:rsidRDefault="00F503F4" w:rsidP="00B525A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D0CE0">
              <w:rPr>
                <w:sz w:val="18"/>
                <w:szCs w:val="18"/>
              </w:rPr>
              <w:t xml:space="preserve">In-person interactions and procedures that </w:t>
            </w:r>
            <w:r w:rsidRPr="006D0CE0">
              <w:rPr>
                <w:sz w:val="18"/>
                <w:szCs w:val="18"/>
                <w:u w:val="single"/>
              </w:rPr>
              <w:t>require no physical contact</w:t>
            </w:r>
            <w:r w:rsidRPr="006D0CE0">
              <w:rPr>
                <w:sz w:val="18"/>
                <w:szCs w:val="18"/>
              </w:rPr>
              <w:t xml:space="preserve"> and that can maintain social distancing</w:t>
            </w:r>
            <w:r>
              <w:rPr>
                <w:sz w:val="18"/>
                <w:szCs w:val="18"/>
              </w:rPr>
              <w:t>, minimum 6 ft, between all individuals</w:t>
            </w:r>
          </w:p>
          <w:p w14:paraId="50A91E17" w14:textId="77777777" w:rsidR="00F503F4" w:rsidRPr="006D0CE0" w:rsidRDefault="00F503F4" w:rsidP="00B525A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D0CE0">
              <w:rPr>
                <w:sz w:val="18"/>
                <w:szCs w:val="18"/>
              </w:rPr>
              <w:t>Can be conducted with limited number of research team members (max 2)</w:t>
            </w:r>
          </w:p>
          <w:p w14:paraId="02F4400F" w14:textId="40E9E7ED" w:rsidR="00F503F4" w:rsidRPr="006D0CE0" w:rsidRDefault="00F503F4" w:rsidP="006D0CE0">
            <w:pPr>
              <w:rPr>
                <w:sz w:val="18"/>
                <w:szCs w:val="18"/>
              </w:rPr>
            </w:pPr>
            <w:r w:rsidRPr="006D0CE0">
              <w:rPr>
                <w:b/>
                <w:sz w:val="18"/>
                <w:szCs w:val="18"/>
              </w:rPr>
              <w:t>Example Activities:</w:t>
            </w:r>
            <w:r w:rsidRPr="006D0CE0">
              <w:rPr>
                <w:sz w:val="18"/>
                <w:szCs w:val="18"/>
              </w:rPr>
              <w:t xml:space="preserve">  Behavioral experiments or clinical interventions without physical contact, computerized tasks, onsite chart review   </w:t>
            </w:r>
          </w:p>
        </w:tc>
        <w:tc>
          <w:tcPr>
            <w:tcW w:w="5670" w:type="dxa"/>
            <w:shd w:val="clear" w:color="auto" w:fill="EDEDED" w:themeFill="accent3" w:themeFillTint="33"/>
          </w:tcPr>
          <w:p w14:paraId="6F4A41E8" w14:textId="04B2908D" w:rsidR="00F503F4" w:rsidRPr="00AB1B98" w:rsidRDefault="00D1770B" w:rsidP="00B525AB">
            <w:pPr>
              <w:pStyle w:val="ListParagraph"/>
              <w:numPr>
                <w:ilvl w:val="0"/>
                <w:numId w:val="12"/>
              </w:numPr>
              <w:ind w:left="25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 training on handwashing, face coverings, disinfection</w:t>
            </w:r>
          </w:p>
          <w:p w14:paraId="0ECF65E9" w14:textId="0C9E5B53" w:rsidR="00F503F4" w:rsidRPr="00AB1B98" w:rsidRDefault="00F503F4" w:rsidP="00B525AB">
            <w:pPr>
              <w:pStyle w:val="ListParagraph"/>
              <w:numPr>
                <w:ilvl w:val="0"/>
                <w:numId w:val="12"/>
              </w:numPr>
              <w:ind w:left="250" w:hanging="180"/>
              <w:rPr>
                <w:sz w:val="18"/>
                <w:szCs w:val="18"/>
              </w:rPr>
            </w:pPr>
            <w:r w:rsidRPr="00AB1B98">
              <w:rPr>
                <w:sz w:val="18"/>
                <w:szCs w:val="18"/>
              </w:rPr>
              <w:t xml:space="preserve">COVID-19 </w:t>
            </w:r>
            <w:r>
              <w:rPr>
                <w:sz w:val="18"/>
                <w:szCs w:val="18"/>
              </w:rPr>
              <w:t xml:space="preserve">symptom </w:t>
            </w:r>
            <w:r w:rsidRPr="00AB1B98">
              <w:rPr>
                <w:sz w:val="18"/>
                <w:szCs w:val="18"/>
              </w:rPr>
              <w:t>screening</w:t>
            </w:r>
            <w:r w:rsidR="00D1770B">
              <w:rPr>
                <w:sz w:val="18"/>
                <w:szCs w:val="18"/>
              </w:rPr>
              <w:t xml:space="preserve"> for researchers and participants</w:t>
            </w:r>
          </w:p>
          <w:p w14:paraId="4585532B" w14:textId="400AFD93" w:rsidR="00F503F4" w:rsidRPr="00AB1B98" w:rsidRDefault="00D1770B" w:rsidP="00B525AB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>
              <w:rPr>
                <w:sz w:val="18"/>
                <w:szCs w:val="18"/>
              </w:rPr>
              <w:t xml:space="preserve">Social distancing plan to </w:t>
            </w:r>
            <w:r w:rsidRPr="003455D2">
              <w:rPr>
                <w:b/>
                <w:sz w:val="18"/>
                <w:szCs w:val="18"/>
              </w:rPr>
              <w:t>maintain 6 ft between all individuals</w:t>
            </w:r>
          </w:p>
          <w:p w14:paraId="26D462F4" w14:textId="60D4A9EF" w:rsidR="00F503F4" w:rsidRPr="00933550" w:rsidRDefault="00F503F4" w:rsidP="00B525AB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>
              <w:rPr>
                <w:sz w:val="18"/>
                <w:szCs w:val="18"/>
              </w:rPr>
              <w:t>Face coverings</w:t>
            </w:r>
            <w:r w:rsidR="003A31C9">
              <w:rPr>
                <w:sz w:val="18"/>
                <w:szCs w:val="18"/>
              </w:rPr>
              <w:t xml:space="preserve"> for researchers</w:t>
            </w:r>
          </w:p>
          <w:p w14:paraId="3CE4E54F" w14:textId="64E4CFBE" w:rsidR="00F503F4" w:rsidRPr="009F7F45" w:rsidRDefault="00F503F4" w:rsidP="00B525AB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 w:rsidRPr="00933550">
              <w:rPr>
                <w:sz w:val="18"/>
                <w:szCs w:val="18"/>
              </w:rPr>
              <w:t xml:space="preserve">Increased </w:t>
            </w:r>
            <w:r>
              <w:rPr>
                <w:sz w:val="18"/>
                <w:szCs w:val="18"/>
              </w:rPr>
              <w:t>cleaning/</w:t>
            </w:r>
            <w:r w:rsidRPr="00933550">
              <w:rPr>
                <w:sz w:val="18"/>
                <w:szCs w:val="18"/>
              </w:rPr>
              <w:t>disinfecting</w:t>
            </w:r>
            <w:r>
              <w:t xml:space="preserve">  </w:t>
            </w:r>
          </w:p>
        </w:tc>
      </w:tr>
      <w:tr w:rsidR="00F503F4" w:rsidRPr="009F7F45" w14:paraId="7AEA7C9F" w14:textId="77777777" w:rsidTr="00D1770B">
        <w:trPr>
          <w:trHeight w:val="1827"/>
        </w:trPr>
        <w:tc>
          <w:tcPr>
            <w:tcW w:w="2065" w:type="dxa"/>
            <w:shd w:val="clear" w:color="auto" w:fill="DEEAF6" w:themeFill="accent1" w:themeFillTint="33"/>
          </w:tcPr>
          <w:p w14:paraId="7C22807B" w14:textId="77777777" w:rsidR="00F503F4" w:rsidRPr="009F7F45" w:rsidRDefault="00F503F4" w:rsidP="00B525AB">
            <w:r>
              <w:t>Medium</w:t>
            </w:r>
          </w:p>
        </w:tc>
        <w:tc>
          <w:tcPr>
            <w:tcW w:w="6120" w:type="dxa"/>
            <w:shd w:val="clear" w:color="auto" w:fill="DEEAF6" w:themeFill="accent1" w:themeFillTint="33"/>
          </w:tcPr>
          <w:p w14:paraId="52A7F1E2" w14:textId="77777777" w:rsidR="00F503F4" w:rsidRPr="006D0CE0" w:rsidRDefault="00F503F4" w:rsidP="00B525A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D0CE0">
              <w:rPr>
                <w:sz w:val="18"/>
                <w:szCs w:val="18"/>
              </w:rPr>
              <w:t xml:space="preserve">In-person non-invasive interactions and procedures that </w:t>
            </w:r>
            <w:r w:rsidRPr="006D0CE0">
              <w:rPr>
                <w:sz w:val="18"/>
                <w:szCs w:val="18"/>
                <w:u w:val="single"/>
              </w:rPr>
              <w:t>require minimal physical contact</w:t>
            </w:r>
            <w:r w:rsidRPr="006D0CE0">
              <w:rPr>
                <w:sz w:val="18"/>
                <w:szCs w:val="18"/>
              </w:rPr>
              <w:t xml:space="preserve"> but can otherwise maintain social distancing</w:t>
            </w:r>
          </w:p>
          <w:p w14:paraId="0FF7470B" w14:textId="4CE89EA4" w:rsidR="00F503F4" w:rsidRPr="006D0CE0" w:rsidRDefault="00F503F4" w:rsidP="00B525A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D0CE0">
              <w:rPr>
                <w:sz w:val="18"/>
                <w:szCs w:val="18"/>
              </w:rPr>
              <w:t xml:space="preserve">Physical contact with the participant </w:t>
            </w:r>
            <w:r>
              <w:rPr>
                <w:sz w:val="18"/>
                <w:szCs w:val="18"/>
              </w:rPr>
              <w:t>l</w:t>
            </w:r>
            <w:r w:rsidRPr="006D0CE0">
              <w:rPr>
                <w:sz w:val="18"/>
                <w:szCs w:val="18"/>
              </w:rPr>
              <w:t>imited to one research team member</w:t>
            </w:r>
          </w:p>
          <w:p w14:paraId="1C6D1F9B" w14:textId="77777777" w:rsidR="00F503F4" w:rsidRPr="006D0CE0" w:rsidRDefault="00F503F4" w:rsidP="00B525A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D0CE0">
              <w:rPr>
                <w:sz w:val="18"/>
                <w:szCs w:val="18"/>
              </w:rPr>
              <w:t>Can be conducted with limited number of research team members (max 2)</w:t>
            </w:r>
          </w:p>
          <w:p w14:paraId="2162300A" w14:textId="384255A3" w:rsidR="00F503F4" w:rsidRPr="006D0CE0" w:rsidRDefault="00F503F4" w:rsidP="00B525AB">
            <w:pPr>
              <w:rPr>
                <w:sz w:val="18"/>
                <w:szCs w:val="18"/>
              </w:rPr>
            </w:pPr>
            <w:r w:rsidRPr="006D0CE0">
              <w:rPr>
                <w:b/>
                <w:sz w:val="18"/>
                <w:szCs w:val="18"/>
              </w:rPr>
              <w:t>Example Activities:</w:t>
            </w:r>
            <w:r w:rsidRPr="006D0CE0">
              <w:rPr>
                <w:sz w:val="18"/>
                <w:szCs w:val="18"/>
              </w:rPr>
              <w:t xml:space="preserve">  Instrument setup including MRI, TMS, ERP, DEXA, eye tracking, physical examinations</w:t>
            </w:r>
            <w:r>
              <w:rPr>
                <w:sz w:val="18"/>
                <w:szCs w:val="18"/>
              </w:rPr>
              <w:t xml:space="preserve"> such as balance testing and neurological exam</w:t>
            </w:r>
            <w:r w:rsidRPr="006D0CE0">
              <w:rPr>
                <w:sz w:val="18"/>
                <w:szCs w:val="18"/>
              </w:rPr>
              <w:t xml:space="preserve">, blood pressure measurements, </w:t>
            </w:r>
            <w:r>
              <w:rPr>
                <w:sz w:val="18"/>
                <w:szCs w:val="18"/>
              </w:rPr>
              <w:t xml:space="preserve">sleep evaluations, audiology </w:t>
            </w:r>
            <w:r w:rsidRPr="006D0CE0">
              <w:rPr>
                <w:sz w:val="18"/>
                <w:szCs w:val="18"/>
              </w:rPr>
              <w:t>assessment, studies with infants and young children that are not anxiety-provoking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4ED9A1FC" w14:textId="0D42528A" w:rsidR="00F503F4" w:rsidRPr="00B13DF1" w:rsidRDefault="00D1770B" w:rsidP="00B525AB">
            <w:pPr>
              <w:pStyle w:val="ListParagraph"/>
              <w:numPr>
                <w:ilvl w:val="0"/>
                <w:numId w:val="12"/>
              </w:numPr>
              <w:ind w:left="25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 training on handwashing, wearing PPE, disinfection</w:t>
            </w:r>
          </w:p>
          <w:p w14:paraId="433A8EF5" w14:textId="74126574" w:rsidR="00F503F4" w:rsidRPr="00B13DF1" w:rsidRDefault="00D1770B" w:rsidP="009B3BA2">
            <w:pPr>
              <w:pStyle w:val="ListParagraph"/>
              <w:numPr>
                <w:ilvl w:val="0"/>
                <w:numId w:val="12"/>
              </w:numPr>
              <w:ind w:left="25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symptom screening for researchers and participants</w:t>
            </w:r>
          </w:p>
          <w:p w14:paraId="33E51580" w14:textId="677D914E" w:rsidR="00F503F4" w:rsidRPr="003A31C9" w:rsidRDefault="00D1770B" w:rsidP="00B525AB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>
              <w:rPr>
                <w:sz w:val="18"/>
                <w:szCs w:val="18"/>
              </w:rPr>
              <w:t xml:space="preserve">Social distancing plan to </w:t>
            </w:r>
            <w:r w:rsidRPr="00D1770B">
              <w:rPr>
                <w:b/>
                <w:sz w:val="18"/>
                <w:szCs w:val="18"/>
              </w:rPr>
              <w:t>minimize physical contact</w:t>
            </w:r>
            <w:r>
              <w:rPr>
                <w:sz w:val="18"/>
                <w:szCs w:val="18"/>
              </w:rPr>
              <w:t xml:space="preserve"> and otherwise maintain 6 ft between all individuals</w:t>
            </w:r>
          </w:p>
          <w:p w14:paraId="3EB61E06" w14:textId="2C01EC58" w:rsidR="00F503F4" w:rsidRPr="00B13DF1" w:rsidRDefault="00F503F4" w:rsidP="00791BC6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 w:rsidRPr="00B13DF1">
              <w:rPr>
                <w:sz w:val="18"/>
                <w:szCs w:val="18"/>
              </w:rPr>
              <w:t>Surgical grade mask</w:t>
            </w:r>
            <w:r w:rsidR="00791BC6">
              <w:rPr>
                <w:sz w:val="18"/>
                <w:szCs w:val="18"/>
              </w:rPr>
              <w:t>, gloves</w:t>
            </w:r>
            <w:r w:rsidR="003A31C9">
              <w:rPr>
                <w:sz w:val="18"/>
                <w:szCs w:val="18"/>
              </w:rPr>
              <w:t xml:space="preserve"> for researchers</w:t>
            </w:r>
          </w:p>
          <w:p w14:paraId="6BAA9A54" w14:textId="7B63FD34" w:rsidR="00F503F4" w:rsidRPr="00B13DF1" w:rsidRDefault="00F503F4" w:rsidP="00B525AB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 w:rsidRPr="00B13DF1">
              <w:rPr>
                <w:sz w:val="18"/>
                <w:szCs w:val="18"/>
              </w:rPr>
              <w:t>Increased cleaning/disinfecting</w:t>
            </w:r>
            <w:r w:rsidRPr="00B13DF1">
              <w:t xml:space="preserve">  </w:t>
            </w:r>
          </w:p>
        </w:tc>
      </w:tr>
      <w:tr w:rsidR="00F503F4" w:rsidRPr="009F7F45" w14:paraId="6055E96A" w14:textId="77777777" w:rsidTr="00D1770B">
        <w:tc>
          <w:tcPr>
            <w:tcW w:w="2065" w:type="dxa"/>
            <w:shd w:val="clear" w:color="auto" w:fill="EDEDED" w:themeFill="accent3" w:themeFillTint="33"/>
          </w:tcPr>
          <w:p w14:paraId="10BBDD6B" w14:textId="77777777" w:rsidR="00F503F4" w:rsidRPr="009F7F45" w:rsidRDefault="00F503F4" w:rsidP="00B525AB">
            <w:r>
              <w:t>High</w:t>
            </w:r>
          </w:p>
        </w:tc>
        <w:tc>
          <w:tcPr>
            <w:tcW w:w="6120" w:type="dxa"/>
            <w:shd w:val="clear" w:color="auto" w:fill="EDEDED" w:themeFill="accent3" w:themeFillTint="33"/>
          </w:tcPr>
          <w:p w14:paraId="44BB9D2E" w14:textId="2CD564D2" w:rsidR="00F503F4" w:rsidRPr="00D722E9" w:rsidRDefault="00F503F4" w:rsidP="00D722E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 w:rsidRPr="006D0CE0">
              <w:rPr>
                <w:sz w:val="18"/>
                <w:szCs w:val="18"/>
              </w:rPr>
              <w:t xml:space="preserve">In-person interactions, interventional activities and procedures that </w:t>
            </w:r>
            <w:r w:rsidRPr="006D0CE0">
              <w:rPr>
                <w:sz w:val="18"/>
                <w:szCs w:val="18"/>
                <w:u w:val="single"/>
              </w:rPr>
              <w:t>require physical contact</w:t>
            </w:r>
            <w:r w:rsidR="00D1770B">
              <w:rPr>
                <w:sz w:val="18"/>
                <w:szCs w:val="18"/>
                <w:u w:val="single"/>
              </w:rPr>
              <w:t xml:space="preserve"> less than 15 mins</w:t>
            </w:r>
            <w:r w:rsidR="00724E6E">
              <w:rPr>
                <w:sz w:val="18"/>
                <w:szCs w:val="18"/>
                <w:u w:val="single"/>
              </w:rPr>
              <w:t xml:space="preserve"> and</w:t>
            </w:r>
            <w:r>
              <w:rPr>
                <w:sz w:val="18"/>
                <w:szCs w:val="18"/>
                <w:u w:val="single"/>
              </w:rPr>
              <w:t xml:space="preserve"> involve collection of biofluid</w:t>
            </w:r>
            <w:r w:rsidRPr="006D0CE0">
              <w:rPr>
                <w:sz w:val="18"/>
                <w:szCs w:val="18"/>
                <w:u w:val="single"/>
              </w:rPr>
              <w:t xml:space="preserve"> samples through non-aerosolizing methods</w:t>
            </w:r>
          </w:p>
          <w:p w14:paraId="330A81AF" w14:textId="77777777" w:rsidR="00F503F4" w:rsidRDefault="00F503F4" w:rsidP="00B525AB">
            <w:pPr>
              <w:rPr>
                <w:sz w:val="18"/>
                <w:szCs w:val="18"/>
              </w:rPr>
            </w:pPr>
            <w:r w:rsidRPr="006D0CE0">
              <w:rPr>
                <w:b/>
                <w:sz w:val="18"/>
                <w:szCs w:val="18"/>
              </w:rPr>
              <w:t>Example Activities:</w:t>
            </w:r>
            <w:r w:rsidRPr="006D0CE0">
              <w:rPr>
                <w:sz w:val="18"/>
                <w:szCs w:val="18"/>
              </w:rPr>
              <w:t xml:space="preserve">  Collection of blood, urine, saliva samples</w:t>
            </w:r>
            <w:r>
              <w:rPr>
                <w:sz w:val="18"/>
                <w:szCs w:val="18"/>
              </w:rPr>
              <w:t>, contact with mucosa</w:t>
            </w:r>
          </w:p>
          <w:p w14:paraId="74A29065" w14:textId="726DFE49" w:rsidR="00F503F4" w:rsidRPr="006D0CE0" w:rsidRDefault="00F503F4" w:rsidP="00F35F1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EDEDED" w:themeFill="accent3" w:themeFillTint="33"/>
          </w:tcPr>
          <w:p w14:paraId="3E01C5D7" w14:textId="77777777" w:rsidR="00791BC6" w:rsidRDefault="00AF2E5C" w:rsidP="00B525AB">
            <w:pPr>
              <w:pStyle w:val="ListParagraph"/>
              <w:numPr>
                <w:ilvl w:val="0"/>
                <w:numId w:val="12"/>
              </w:numPr>
              <w:ind w:left="25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 training on handwashing, wearing PPE, disinfection</w:t>
            </w:r>
          </w:p>
          <w:p w14:paraId="1B8A566C" w14:textId="3FA2E152" w:rsidR="00F503F4" w:rsidRPr="00AB1B98" w:rsidRDefault="00791BC6" w:rsidP="00B525AB">
            <w:pPr>
              <w:pStyle w:val="ListParagraph"/>
              <w:numPr>
                <w:ilvl w:val="0"/>
                <w:numId w:val="12"/>
              </w:numPr>
              <w:ind w:left="25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Personnel training on </w:t>
            </w:r>
            <w:r w:rsidR="00AF2E5C">
              <w:rPr>
                <w:sz w:val="18"/>
                <w:szCs w:val="18"/>
              </w:rPr>
              <w:t>procedures for safe handling of biofluid samples</w:t>
            </w:r>
          </w:p>
          <w:p w14:paraId="4F830570" w14:textId="348B5B75" w:rsidR="00F503F4" w:rsidRPr="00AB1B98" w:rsidRDefault="00F503F4" w:rsidP="009B3BA2">
            <w:pPr>
              <w:pStyle w:val="ListParagraph"/>
              <w:numPr>
                <w:ilvl w:val="0"/>
                <w:numId w:val="12"/>
              </w:numPr>
              <w:ind w:left="250" w:hanging="180"/>
              <w:rPr>
                <w:sz w:val="18"/>
                <w:szCs w:val="18"/>
              </w:rPr>
            </w:pPr>
            <w:r w:rsidRPr="00AB1B98">
              <w:rPr>
                <w:sz w:val="18"/>
                <w:szCs w:val="18"/>
              </w:rPr>
              <w:t xml:space="preserve">COVID-19 </w:t>
            </w:r>
            <w:r>
              <w:rPr>
                <w:sz w:val="18"/>
                <w:szCs w:val="18"/>
              </w:rPr>
              <w:t xml:space="preserve">symptom </w:t>
            </w:r>
            <w:r w:rsidR="00AF2E5C">
              <w:rPr>
                <w:sz w:val="18"/>
                <w:szCs w:val="18"/>
              </w:rPr>
              <w:t>screening for researchers and participants</w:t>
            </w:r>
          </w:p>
          <w:p w14:paraId="2DB48518" w14:textId="23BBA50C" w:rsidR="00F503F4" w:rsidRPr="00AB1B98" w:rsidRDefault="00F503F4" w:rsidP="00B525AB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 w:rsidRPr="00AB1B98">
              <w:rPr>
                <w:sz w:val="18"/>
                <w:szCs w:val="18"/>
              </w:rPr>
              <w:t xml:space="preserve">Social </w:t>
            </w:r>
            <w:r w:rsidR="00AF2E5C">
              <w:rPr>
                <w:sz w:val="18"/>
                <w:szCs w:val="18"/>
              </w:rPr>
              <w:t xml:space="preserve">distancing plan to </w:t>
            </w:r>
            <w:r w:rsidR="00791BC6">
              <w:rPr>
                <w:b/>
                <w:sz w:val="18"/>
                <w:szCs w:val="18"/>
              </w:rPr>
              <w:t>minimiz</w:t>
            </w:r>
            <w:r w:rsidR="003455D2" w:rsidRPr="003455D2">
              <w:rPr>
                <w:b/>
                <w:sz w:val="18"/>
                <w:szCs w:val="18"/>
              </w:rPr>
              <w:t xml:space="preserve">e </w:t>
            </w:r>
            <w:r w:rsidR="00791BC6">
              <w:rPr>
                <w:b/>
                <w:sz w:val="18"/>
                <w:szCs w:val="18"/>
              </w:rPr>
              <w:t>physical contact</w:t>
            </w:r>
            <w:r w:rsidR="0071253D">
              <w:rPr>
                <w:b/>
                <w:sz w:val="18"/>
                <w:szCs w:val="18"/>
              </w:rPr>
              <w:t xml:space="preserve"> time</w:t>
            </w:r>
          </w:p>
          <w:p w14:paraId="0162BEEB" w14:textId="6E7F2F77" w:rsidR="00F503F4" w:rsidRPr="00933550" w:rsidRDefault="00F503F4" w:rsidP="00B525AB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>
              <w:rPr>
                <w:sz w:val="18"/>
                <w:szCs w:val="18"/>
              </w:rPr>
              <w:t>Surgical grade mask</w:t>
            </w:r>
            <w:r w:rsidR="00791BC6">
              <w:rPr>
                <w:sz w:val="18"/>
                <w:szCs w:val="18"/>
              </w:rPr>
              <w:t>, gloves</w:t>
            </w:r>
            <w:r w:rsidR="003A31C9">
              <w:rPr>
                <w:sz w:val="18"/>
                <w:szCs w:val="18"/>
              </w:rPr>
              <w:t xml:space="preserve"> for researchers</w:t>
            </w:r>
          </w:p>
          <w:p w14:paraId="00A89F04" w14:textId="0049A353" w:rsidR="00791BC6" w:rsidRPr="00791BC6" w:rsidRDefault="00791BC6" w:rsidP="00791BC6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>
              <w:rPr>
                <w:sz w:val="18"/>
                <w:szCs w:val="18"/>
              </w:rPr>
              <w:t>Additional PPE including gown and eye protection may be required for post-collection processing of biofluid samples</w:t>
            </w:r>
            <w:r w:rsidRPr="00933550">
              <w:rPr>
                <w:sz w:val="18"/>
                <w:szCs w:val="18"/>
              </w:rPr>
              <w:t xml:space="preserve"> </w:t>
            </w:r>
          </w:p>
          <w:p w14:paraId="546405EE" w14:textId="480B9D91" w:rsidR="00AF2E5C" w:rsidRPr="009F7F45" w:rsidRDefault="00F503F4" w:rsidP="00791BC6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 w:rsidRPr="00933550">
              <w:rPr>
                <w:sz w:val="18"/>
                <w:szCs w:val="18"/>
              </w:rPr>
              <w:t>Increased</w:t>
            </w:r>
            <w:r>
              <w:rPr>
                <w:sz w:val="18"/>
                <w:szCs w:val="18"/>
              </w:rPr>
              <w:t xml:space="preserve"> cleaning/</w:t>
            </w:r>
            <w:r w:rsidRPr="00933550">
              <w:rPr>
                <w:sz w:val="18"/>
                <w:szCs w:val="18"/>
              </w:rPr>
              <w:t>disinfecting</w:t>
            </w:r>
            <w:r>
              <w:t xml:space="preserve">  </w:t>
            </w:r>
          </w:p>
        </w:tc>
      </w:tr>
      <w:tr w:rsidR="00F503F4" w:rsidRPr="009F7F45" w14:paraId="2C4AFCCD" w14:textId="77777777" w:rsidTr="00D1770B">
        <w:tc>
          <w:tcPr>
            <w:tcW w:w="2065" w:type="dxa"/>
            <w:shd w:val="clear" w:color="auto" w:fill="DEEAF6" w:themeFill="accent1" w:themeFillTint="33"/>
          </w:tcPr>
          <w:p w14:paraId="5AE8725B" w14:textId="77777777" w:rsidR="00F503F4" w:rsidRDefault="00F503F4" w:rsidP="00B525AB">
            <w:r>
              <w:t>Highest</w:t>
            </w:r>
          </w:p>
          <w:p w14:paraId="2277E7A6" w14:textId="77777777" w:rsidR="00F503F4" w:rsidRPr="009F7F45" w:rsidRDefault="00F503F4" w:rsidP="00B525AB"/>
        </w:tc>
        <w:tc>
          <w:tcPr>
            <w:tcW w:w="6120" w:type="dxa"/>
            <w:shd w:val="clear" w:color="auto" w:fill="DEEAF6" w:themeFill="accent1" w:themeFillTint="33"/>
          </w:tcPr>
          <w:p w14:paraId="6CFE95EE" w14:textId="6D06D386" w:rsidR="00F503F4" w:rsidRPr="00D1770B" w:rsidRDefault="00F503F4" w:rsidP="00B525A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D0CE0">
              <w:rPr>
                <w:sz w:val="18"/>
                <w:szCs w:val="18"/>
              </w:rPr>
              <w:t xml:space="preserve">In-person interactions, interventional activities and procedures that </w:t>
            </w:r>
            <w:r w:rsidRPr="006D0CE0">
              <w:rPr>
                <w:sz w:val="18"/>
                <w:szCs w:val="18"/>
                <w:u w:val="single"/>
              </w:rPr>
              <w:t>may or may not require physical contact but likely produce aerosols</w:t>
            </w:r>
          </w:p>
          <w:p w14:paraId="39EDB5D0" w14:textId="43DB6991" w:rsidR="00D1770B" w:rsidRPr="00D1770B" w:rsidRDefault="00AF2E5C" w:rsidP="00B525A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Activities and procedures that </w:t>
            </w:r>
            <w:r w:rsidRPr="00724E6E">
              <w:rPr>
                <w:sz w:val="18"/>
                <w:szCs w:val="18"/>
                <w:u w:val="single"/>
              </w:rPr>
              <w:t xml:space="preserve">require direct </w:t>
            </w:r>
            <w:r w:rsidR="00A0349E">
              <w:rPr>
                <w:sz w:val="18"/>
                <w:szCs w:val="18"/>
                <w:u w:val="single"/>
              </w:rPr>
              <w:t xml:space="preserve">or close </w:t>
            </w:r>
            <w:r w:rsidRPr="00724E6E">
              <w:rPr>
                <w:sz w:val="18"/>
                <w:szCs w:val="18"/>
                <w:u w:val="single"/>
              </w:rPr>
              <w:t>physical contact lasting more than 15 mins</w:t>
            </w:r>
          </w:p>
          <w:p w14:paraId="6607AC88" w14:textId="2EE000F1" w:rsidR="00F503F4" w:rsidRPr="006D0CE0" w:rsidRDefault="00F503F4" w:rsidP="00B525A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studies involving patients with current diagnosis, under investigation,  or those with active symptoms consistent with COVID-19</w:t>
            </w:r>
          </w:p>
          <w:p w14:paraId="7DCAC85D" w14:textId="0BA6968F" w:rsidR="00F503F4" w:rsidRPr="006D0CE0" w:rsidRDefault="00F503F4" w:rsidP="00AF2E5C">
            <w:pPr>
              <w:rPr>
                <w:sz w:val="18"/>
                <w:szCs w:val="18"/>
              </w:rPr>
            </w:pPr>
            <w:r w:rsidRPr="006D0CE0">
              <w:rPr>
                <w:b/>
                <w:sz w:val="18"/>
                <w:szCs w:val="18"/>
              </w:rPr>
              <w:t>Example Activities</w:t>
            </w:r>
            <w:r w:rsidRPr="006D0CE0">
              <w:rPr>
                <w:sz w:val="18"/>
                <w:szCs w:val="18"/>
              </w:rPr>
              <w:t>:  Studies involving exercise, cardiovascular stress tes</w:t>
            </w:r>
            <w:r w:rsidR="00791BC6">
              <w:rPr>
                <w:sz w:val="18"/>
                <w:szCs w:val="18"/>
              </w:rPr>
              <w:t>ting, pulmonary function tests,</w:t>
            </w:r>
            <w:r w:rsidRPr="006D0CE0">
              <w:rPr>
                <w:sz w:val="18"/>
                <w:szCs w:val="18"/>
              </w:rPr>
              <w:t xml:space="preserve"> infant-child studies that may induce crying, medical procedures including but not limited to intubation, anesthesia</w:t>
            </w:r>
            <w:r w:rsidR="00AF2E5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interventional and basic research studies involving COVID-19 patients</w:t>
            </w:r>
            <w:r w:rsidRPr="006D0C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543A0428" w14:textId="77777777" w:rsidR="00724E6E" w:rsidRDefault="003455D2" w:rsidP="003455D2">
            <w:pPr>
              <w:pStyle w:val="ListParagraph"/>
              <w:numPr>
                <w:ilvl w:val="0"/>
                <w:numId w:val="12"/>
              </w:numPr>
              <w:ind w:left="25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 training on handwashing, donning/doffing full PPE, disinfection</w:t>
            </w:r>
          </w:p>
          <w:p w14:paraId="6717411D" w14:textId="3389BBE3" w:rsidR="003455D2" w:rsidRPr="00AB1B98" w:rsidRDefault="00724E6E" w:rsidP="003455D2">
            <w:pPr>
              <w:pStyle w:val="ListParagraph"/>
              <w:numPr>
                <w:ilvl w:val="0"/>
                <w:numId w:val="12"/>
              </w:numPr>
              <w:ind w:left="25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455D2">
              <w:rPr>
                <w:sz w:val="18"/>
                <w:szCs w:val="18"/>
              </w:rPr>
              <w:t>rocedures for safe handling of biofluid samples where required</w:t>
            </w:r>
          </w:p>
          <w:p w14:paraId="44FB2259" w14:textId="723D6C3C" w:rsidR="00F503F4" w:rsidRDefault="00F503F4" w:rsidP="00A53F0D">
            <w:pPr>
              <w:pStyle w:val="ListParagraph"/>
              <w:numPr>
                <w:ilvl w:val="0"/>
                <w:numId w:val="12"/>
              </w:numPr>
              <w:ind w:left="250" w:hanging="180"/>
              <w:rPr>
                <w:sz w:val="18"/>
                <w:szCs w:val="18"/>
              </w:rPr>
            </w:pPr>
            <w:r w:rsidRPr="00AB1B98">
              <w:rPr>
                <w:sz w:val="18"/>
                <w:szCs w:val="18"/>
              </w:rPr>
              <w:t xml:space="preserve">COVID-19 </w:t>
            </w:r>
            <w:r>
              <w:rPr>
                <w:sz w:val="18"/>
                <w:szCs w:val="18"/>
              </w:rPr>
              <w:t xml:space="preserve">symptom </w:t>
            </w:r>
            <w:r w:rsidR="003455D2">
              <w:rPr>
                <w:sz w:val="18"/>
                <w:szCs w:val="18"/>
              </w:rPr>
              <w:t>screening for researchers and participants</w:t>
            </w:r>
          </w:p>
          <w:p w14:paraId="7303B057" w14:textId="62B427C8" w:rsidR="00F503F4" w:rsidRPr="00A0349E" w:rsidRDefault="00F503F4" w:rsidP="00B525AB">
            <w:pPr>
              <w:pStyle w:val="ListParagraph"/>
              <w:numPr>
                <w:ilvl w:val="0"/>
                <w:numId w:val="12"/>
              </w:numPr>
              <w:ind w:left="250" w:hanging="180"/>
              <w:rPr>
                <w:b/>
              </w:rPr>
            </w:pPr>
            <w:r w:rsidRPr="00AB1B98">
              <w:rPr>
                <w:sz w:val="18"/>
                <w:szCs w:val="18"/>
              </w:rPr>
              <w:t>Social distancing plans</w:t>
            </w:r>
            <w:r w:rsidR="003455D2">
              <w:rPr>
                <w:sz w:val="18"/>
                <w:szCs w:val="18"/>
              </w:rPr>
              <w:t xml:space="preserve"> to </w:t>
            </w:r>
            <w:r w:rsidR="00A0349E" w:rsidRPr="00A0349E">
              <w:rPr>
                <w:b/>
                <w:sz w:val="18"/>
                <w:szCs w:val="18"/>
              </w:rPr>
              <w:t>minimize physical contact</w:t>
            </w:r>
            <w:r w:rsidR="00A0349E">
              <w:rPr>
                <w:b/>
                <w:sz w:val="18"/>
                <w:szCs w:val="18"/>
              </w:rPr>
              <w:t xml:space="preserve"> time</w:t>
            </w:r>
          </w:p>
          <w:p w14:paraId="28E5FF46" w14:textId="61DD373B" w:rsidR="00F503F4" w:rsidRPr="006C1F31" w:rsidRDefault="003A31C9" w:rsidP="00B44161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 w:rsidRPr="003A31C9">
              <w:rPr>
                <w:sz w:val="18"/>
                <w:szCs w:val="18"/>
              </w:rPr>
              <w:t>Full PPE</w:t>
            </w:r>
            <w:r w:rsidR="00724E6E">
              <w:rPr>
                <w:sz w:val="18"/>
                <w:szCs w:val="18"/>
              </w:rPr>
              <w:t xml:space="preserve"> for researchers</w:t>
            </w:r>
            <w:r w:rsidRPr="003A31C9">
              <w:rPr>
                <w:sz w:val="18"/>
                <w:szCs w:val="18"/>
              </w:rPr>
              <w:t xml:space="preserve"> including </w:t>
            </w:r>
            <w:r w:rsidR="00F503F4" w:rsidRPr="003A31C9">
              <w:rPr>
                <w:sz w:val="18"/>
                <w:szCs w:val="18"/>
              </w:rPr>
              <w:t>N-95 grade mask</w:t>
            </w:r>
            <w:r w:rsidRPr="003A31C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</w:t>
            </w:r>
            <w:r w:rsidR="00F503F4" w:rsidRPr="003A31C9">
              <w:rPr>
                <w:sz w:val="18"/>
                <w:szCs w:val="18"/>
              </w:rPr>
              <w:t>loves, gown, eye protection</w:t>
            </w:r>
          </w:p>
          <w:p w14:paraId="41A5E826" w14:textId="77777777" w:rsidR="00E14F88" w:rsidRPr="00E14F88" w:rsidRDefault="00F503F4" w:rsidP="00B525AB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 w:rsidRPr="006C1F31">
              <w:rPr>
                <w:sz w:val="18"/>
                <w:szCs w:val="18"/>
              </w:rPr>
              <w:t xml:space="preserve">Increased </w:t>
            </w:r>
            <w:r>
              <w:rPr>
                <w:sz w:val="18"/>
                <w:szCs w:val="18"/>
              </w:rPr>
              <w:t>cleaning/</w:t>
            </w:r>
            <w:r w:rsidRPr="006C1F31">
              <w:rPr>
                <w:sz w:val="18"/>
                <w:szCs w:val="18"/>
              </w:rPr>
              <w:t>disinfecting</w:t>
            </w:r>
          </w:p>
          <w:p w14:paraId="1A7EECA2" w14:textId="3FA02B0F" w:rsidR="00F503F4" w:rsidRDefault="00E14F88" w:rsidP="00B525AB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>
              <w:rPr>
                <w:sz w:val="18"/>
                <w:szCs w:val="18"/>
              </w:rPr>
              <w:t xml:space="preserve">Consider COVID-19 testing of study participants prior to intervention  </w:t>
            </w:r>
            <w:r w:rsidR="00F503F4">
              <w:t xml:space="preserve"> </w:t>
            </w:r>
          </w:p>
          <w:p w14:paraId="1248D247" w14:textId="1FB79F53" w:rsidR="003455D2" w:rsidRPr="009F7F45" w:rsidRDefault="00F503F4" w:rsidP="00E14F88">
            <w:pPr>
              <w:pStyle w:val="ListParagraph"/>
              <w:numPr>
                <w:ilvl w:val="0"/>
                <w:numId w:val="12"/>
              </w:numPr>
              <w:ind w:left="250" w:hanging="180"/>
            </w:pPr>
            <w:r w:rsidRPr="00B13DF1">
              <w:rPr>
                <w:sz w:val="18"/>
                <w:szCs w:val="18"/>
              </w:rPr>
              <w:t>Adequate ventilation</w:t>
            </w:r>
            <w:r w:rsidR="003455D2" w:rsidRPr="003455D2">
              <w:rPr>
                <w:sz w:val="18"/>
                <w:szCs w:val="18"/>
                <w:vertAlign w:val="superscript"/>
              </w:rPr>
              <w:t>1</w:t>
            </w:r>
          </w:p>
        </w:tc>
      </w:tr>
    </w:tbl>
    <w:p w14:paraId="06AB839D" w14:textId="5B5DE538" w:rsidR="003455D2" w:rsidRPr="00F51A6E" w:rsidRDefault="003455D2" w:rsidP="003455D2">
      <w:r>
        <w:rPr>
          <w:b/>
          <w:sz w:val="20"/>
          <w:szCs w:val="20"/>
          <w:vertAlign w:val="superscript"/>
        </w:rPr>
        <w:t>1</w:t>
      </w:r>
      <w:r w:rsidR="001F6448">
        <w:rPr>
          <w:b/>
          <w:sz w:val="20"/>
          <w:szCs w:val="20"/>
        </w:rPr>
        <w:t>Adequate v</w:t>
      </w:r>
      <w:r w:rsidR="001F6448" w:rsidRPr="001F6448">
        <w:rPr>
          <w:b/>
          <w:sz w:val="20"/>
          <w:szCs w:val="20"/>
        </w:rPr>
        <w:t>entilation:</w:t>
      </w:r>
      <w:r w:rsidR="001F6448" w:rsidRPr="001F6448">
        <w:rPr>
          <w:sz w:val="20"/>
          <w:szCs w:val="20"/>
        </w:rPr>
        <w:t xml:space="preserve">  </w:t>
      </w:r>
      <w:r>
        <w:rPr>
          <w:sz w:val="20"/>
          <w:szCs w:val="20"/>
        </w:rPr>
        <w:t>Where possible, research in the HIGHEST exposure category should be conducted in spaces with negative-pressure ventilation.  If negative</w:t>
      </w:r>
      <w:r w:rsidRPr="001F6448">
        <w:rPr>
          <w:sz w:val="20"/>
          <w:szCs w:val="20"/>
        </w:rPr>
        <w:t>-pressure ventilation is not available, pauses between participants</w:t>
      </w:r>
      <w:r>
        <w:rPr>
          <w:sz w:val="20"/>
          <w:szCs w:val="20"/>
        </w:rPr>
        <w:t xml:space="preserve"> should be included to allow for adequate air circulation, air replacement, and disinfecting</w:t>
      </w:r>
      <w:r w:rsidRPr="001F6448">
        <w:rPr>
          <w:sz w:val="20"/>
          <w:szCs w:val="20"/>
        </w:rPr>
        <w:t xml:space="preserve">.  Guidance can be obtained through Facilities Management.  </w:t>
      </w:r>
      <w:r>
        <w:t xml:space="preserve"> </w:t>
      </w:r>
    </w:p>
    <w:p w14:paraId="4E1002A7" w14:textId="42D13E07" w:rsidR="00F51A6E" w:rsidRDefault="00F51A6E" w:rsidP="00627E16"/>
    <w:p w14:paraId="70457A3E" w14:textId="346F8559" w:rsidR="00035DF1" w:rsidRPr="00F51A6E" w:rsidRDefault="00035DF1" w:rsidP="00627E16">
      <w:r>
        <w:rPr>
          <w:sz w:val="20"/>
          <w:szCs w:val="20"/>
        </w:rPr>
        <w:t>Revised May 31, 2020</w:t>
      </w:r>
    </w:p>
    <w:sectPr w:rsidR="00035DF1" w:rsidRPr="00F51A6E" w:rsidSect="009335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0E640" w14:textId="77777777" w:rsidR="003365CD" w:rsidRDefault="003365CD" w:rsidP="008455D0">
      <w:r>
        <w:separator/>
      </w:r>
    </w:p>
  </w:endnote>
  <w:endnote w:type="continuationSeparator" w:id="0">
    <w:p w14:paraId="6ABBA6D3" w14:textId="77777777" w:rsidR="003365CD" w:rsidRDefault="003365CD" w:rsidP="0084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278C" w14:textId="77777777" w:rsidR="00AA551E" w:rsidRDefault="00AA5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A859" w14:textId="77777777" w:rsidR="00AA551E" w:rsidRDefault="00AA5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F74E" w14:textId="77777777" w:rsidR="00AA551E" w:rsidRDefault="00AA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F6ECF" w14:textId="77777777" w:rsidR="003365CD" w:rsidRDefault="003365CD" w:rsidP="008455D0">
      <w:r>
        <w:separator/>
      </w:r>
    </w:p>
  </w:footnote>
  <w:footnote w:type="continuationSeparator" w:id="0">
    <w:p w14:paraId="23A5FCF8" w14:textId="77777777" w:rsidR="003365CD" w:rsidRDefault="003365CD" w:rsidP="0084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9ACC" w14:textId="77777777" w:rsidR="00AA551E" w:rsidRDefault="00AA5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A3A8" w14:textId="77777777" w:rsidR="00AA551E" w:rsidRDefault="00AA5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B996" w14:textId="77777777" w:rsidR="00AA551E" w:rsidRDefault="00AA5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2C0D"/>
    <w:multiLevelType w:val="hybridMultilevel"/>
    <w:tmpl w:val="70225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3017C"/>
    <w:multiLevelType w:val="hybridMultilevel"/>
    <w:tmpl w:val="303CC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D3523"/>
    <w:multiLevelType w:val="hybridMultilevel"/>
    <w:tmpl w:val="7A5E0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C455C"/>
    <w:multiLevelType w:val="hybridMultilevel"/>
    <w:tmpl w:val="37F4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4011"/>
    <w:multiLevelType w:val="hybridMultilevel"/>
    <w:tmpl w:val="1A9E64E0"/>
    <w:lvl w:ilvl="0" w:tplc="0C94E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E3595"/>
    <w:multiLevelType w:val="hybridMultilevel"/>
    <w:tmpl w:val="B1C6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B58C7"/>
    <w:multiLevelType w:val="hybridMultilevel"/>
    <w:tmpl w:val="05A03B1C"/>
    <w:lvl w:ilvl="0" w:tplc="0C94E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D2018B"/>
    <w:multiLevelType w:val="hybridMultilevel"/>
    <w:tmpl w:val="D8A24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6107F"/>
    <w:multiLevelType w:val="hybridMultilevel"/>
    <w:tmpl w:val="7EEA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A12FC"/>
    <w:multiLevelType w:val="hybridMultilevel"/>
    <w:tmpl w:val="F1E22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82744"/>
    <w:multiLevelType w:val="hybridMultilevel"/>
    <w:tmpl w:val="0DDAE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2950AD"/>
    <w:multiLevelType w:val="hybridMultilevel"/>
    <w:tmpl w:val="643E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0445"/>
    <w:multiLevelType w:val="hybridMultilevel"/>
    <w:tmpl w:val="FD1A9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A6219"/>
    <w:multiLevelType w:val="hybridMultilevel"/>
    <w:tmpl w:val="45F07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C07FBB"/>
    <w:multiLevelType w:val="hybridMultilevel"/>
    <w:tmpl w:val="ED9A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67631"/>
    <w:multiLevelType w:val="hybridMultilevel"/>
    <w:tmpl w:val="0CE4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F95D1C"/>
    <w:multiLevelType w:val="hybridMultilevel"/>
    <w:tmpl w:val="351C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6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2E"/>
    <w:rsid w:val="00035DF1"/>
    <w:rsid w:val="000A29CA"/>
    <w:rsid w:val="000A5271"/>
    <w:rsid w:val="000D4635"/>
    <w:rsid w:val="001153F9"/>
    <w:rsid w:val="00116732"/>
    <w:rsid w:val="001303C2"/>
    <w:rsid w:val="001D24FC"/>
    <w:rsid w:val="001D276F"/>
    <w:rsid w:val="001F23C1"/>
    <w:rsid w:val="001F6448"/>
    <w:rsid w:val="001F679F"/>
    <w:rsid w:val="00230DD5"/>
    <w:rsid w:val="002443A3"/>
    <w:rsid w:val="00291D73"/>
    <w:rsid w:val="002A0894"/>
    <w:rsid w:val="002B29E7"/>
    <w:rsid w:val="002D4FA9"/>
    <w:rsid w:val="002F3674"/>
    <w:rsid w:val="003310AF"/>
    <w:rsid w:val="003365CD"/>
    <w:rsid w:val="00341D38"/>
    <w:rsid w:val="003455D2"/>
    <w:rsid w:val="00354376"/>
    <w:rsid w:val="00357863"/>
    <w:rsid w:val="00394544"/>
    <w:rsid w:val="0039615C"/>
    <w:rsid w:val="003A31C9"/>
    <w:rsid w:val="003D5907"/>
    <w:rsid w:val="003F0FCF"/>
    <w:rsid w:val="003F2FE7"/>
    <w:rsid w:val="004834B7"/>
    <w:rsid w:val="004C2031"/>
    <w:rsid w:val="005314DA"/>
    <w:rsid w:val="00556C9F"/>
    <w:rsid w:val="00557EA4"/>
    <w:rsid w:val="0057040B"/>
    <w:rsid w:val="005F2F11"/>
    <w:rsid w:val="0061713A"/>
    <w:rsid w:val="00627E16"/>
    <w:rsid w:val="006443DE"/>
    <w:rsid w:val="00645F51"/>
    <w:rsid w:val="00657FC6"/>
    <w:rsid w:val="006778BB"/>
    <w:rsid w:val="006C1F31"/>
    <w:rsid w:val="006D0CE0"/>
    <w:rsid w:val="006E4396"/>
    <w:rsid w:val="006E6C62"/>
    <w:rsid w:val="00700550"/>
    <w:rsid w:val="0071253D"/>
    <w:rsid w:val="0071694D"/>
    <w:rsid w:val="00724E6E"/>
    <w:rsid w:val="00741303"/>
    <w:rsid w:val="00741466"/>
    <w:rsid w:val="007511A1"/>
    <w:rsid w:val="00764C3C"/>
    <w:rsid w:val="00791BC6"/>
    <w:rsid w:val="007B3978"/>
    <w:rsid w:val="007B6564"/>
    <w:rsid w:val="00800A85"/>
    <w:rsid w:val="0082675F"/>
    <w:rsid w:val="008455D0"/>
    <w:rsid w:val="00845615"/>
    <w:rsid w:val="00894A2E"/>
    <w:rsid w:val="008D2C7E"/>
    <w:rsid w:val="008F1D5F"/>
    <w:rsid w:val="008F2B9B"/>
    <w:rsid w:val="008F4DCD"/>
    <w:rsid w:val="00933550"/>
    <w:rsid w:val="00937A76"/>
    <w:rsid w:val="00981A89"/>
    <w:rsid w:val="009B3BA2"/>
    <w:rsid w:val="009B58B8"/>
    <w:rsid w:val="009F7DD1"/>
    <w:rsid w:val="009F7F45"/>
    <w:rsid w:val="00A0349E"/>
    <w:rsid w:val="00A53F0D"/>
    <w:rsid w:val="00A55D91"/>
    <w:rsid w:val="00A840F5"/>
    <w:rsid w:val="00AA551E"/>
    <w:rsid w:val="00AA72B5"/>
    <w:rsid w:val="00AB1B98"/>
    <w:rsid w:val="00AF2E5C"/>
    <w:rsid w:val="00B11163"/>
    <w:rsid w:val="00B13DF1"/>
    <w:rsid w:val="00B14836"/>
    <w:rsid w:val="00B20736"/>
    <w:rsid w:val="00B61E47"/>
    <w:rsid w:val="00B949FB"/>
    <w:rsid w:val="00BA39AE"/>
    <w:rsid w:val="00BE08E0"/>
    <w:rsid w:val="00BF1FC0"/>
    <w:rsid w:val="00C02E71"/>
    <w:rsid w:val="00C62B6A"/>
    <w:rsid w:val="00C73979"/>
    <w:rsid w:val="00CB32B4"/>
    <w:rsid w:val="00CC4E7C"/>
    <w:rsid w:val="00CD3049"/>
    <w:rsid w:val="00CD6EA3"/>
    <w:rsid w:val="00D1770B"/>
    <w:rsid w:val="00D4471C"/>
    <w:rsid w:val="00D722E9"/>
    <w:rsid w:val="00DA2AFB"/>
    <w:rsid w:val="00DE1161"/>
    <w:rsid w:val="00DE174F"/>
    <w:rsid w:val="00DF2A9E"/>
    <w:rsid w:val="00DF72CA"/>
    <w:rsid w:val="00E14F88"/>
    <w:rsid w:val="00E365CD"/>
    <w:rsid w:val="00F11A54"/>
    <w:rsid w:val="00F35F10"/>
    <w:rsid w:val="00F503F4"/>
    <w:rsid w:val="00F51A6E"/>
    <w:rsid w:val="00F757F6"/>
    <w:rsid w:val="00FB051C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C8532"/>
  <w15:chartTrackingRefBased/>
  <w15:docId w15:val="{75EE8CAC-7F72-4FBB-9F8E-38BCEE36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7C"/>
    <w:pPr>
      <w:ind w:left="720"/>
      <w:contextualSpacing/>
    </w:pPr>
  </w:style>
  <w:style w:type="table" w:styleId="TableGrid">
    <w:name w:val="Table Grid"/>
    <w:basedOn w:val="TableNormal"/>
    <w:uiPriority w:val="39"/>
    <w:rsid w:val="009F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5D0"/>
  </w:style>
  <w:style w:type="paragraph" w:styleId="Footer">
    <w:name w:val="footer"/>
    <w:basedOn w:val="Normal"/>
    <w:link w:val="FooterChar"/>
    <w:uiPriority w:val="99"/>
    <w:unhideWhenUsed/>
    <w:rsid w:val="0084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5D0"/>
  </w:style>
  <w:style w:type="character" w:styleId="CommentReference">
    <w:name w:val="annotation reference"/>
    <w:basedOn w:val="DefaultParagraphFont"/>
    <w:uiPriority w:val="99"/>
    <w:semiHidden/>
    <w:unhideWhenUsed/>
    <w:rsid w:val="003F0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F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163"/>
  </w:style>
  <w:style w:type="character" w:styleId="Hyperlink">
    <w:name w:val="Hyperlink"/>
    <w:basedOn w:val="DefaultParagraphFont"/>
    <w:uiPriority w:val="99"/>
    <w:unhideWhenUsed/>
    <w:rsid w:val="00DF2A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arizona.edu/covid19/research-restart" TargetMode="External"/><Relationship Id="rId13" Type="http://schemas.openxmlformats.org/officeDocument/2006/relationships/hyperlink" Target="https://www.cdc.gov/handwashin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need-extra-precautio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arizona.edu/covid19/research-rest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arizona.edu/covid19/research-resta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earch.arizona.edu/covid19/research-restar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Relationship Id="rId14" Type="http://schemas.openxmlformats.org/officeDocument/2006/relationships/hyperlink" Target="https://research.arizona.edu/covid19/research-resta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F8F1-E793-4F2E-A3F4-1DFD0407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Lee - (ryant)</dc:creator>
  <cp:keywords/>
  <dc:description/>
  <cp:lastModifiedBy>Jason A Wertheim</cp:lastModifiedBy>
  <cp:revision>11</cp:revision>
  <cp:lastPrinted>2020-05-30T17:12:00Z</cp:lastPrinted>
  <dcterms:created xsi:type="dcterms:W3CDTF">2020-05-30T16:28:00Z</dcterms:created>
  <dcterms:modified xsi:type="dcterms:W3CDTF">2020-05-31T20:23:00Z</dcterms:modified>
</cp:coreProperties>
</file>