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E9C" w:rsidRPr="00405E9C" w:rsidRDefault="00405E9C" w:rsidP="00405E9C">
      <w:pPr>
        <w:spacing w:after="200" w:line="276" w:lineRule="auto"/>
        <w:ind w:left="0" w:firstLine="0"/>
        <w:jc w:val="center"/>
        <w:rPr>
          <w:rFonts w:eastAsia="Calibri"/>
          <w:color w:val="auto"/>
          <w:sz w:val="32"/>
        </w:rPr>
      </w:pPr>
      <w:bookmarkStart w:id="0" w:name="_GoBack"/>
      <w:r>
        <w:rPr>
          <w:rFonts w:eastAsia="Calibri"/>
          <w:color w:val="auto"/>
          <w:sz w:val="32"/>
        </w:rPr>
        <w:t xml:space="preserve">RLSS DEA Controlled Substance </w:t>
      </w:r>
      <w:r w:rsidRPr="00405E9C">
        <w:rPr>
          <w:rFonts w:eastAsia="Calibri"/>
          <w:color w:val="auto"/>
          <w:sz w:val="32"/>
        </w:rPr>
        <w:t>Inspection Checklist</w:t>
      </w:r>
    </w:p>
    <w:tbl>
      <w:tblPr>
        <w:tblStyle w:val="TableGrid1"/>
        <w:tblW w:w="7465" w:type="dxa"/>
        <w:jc w:val="center"/>
        <w:tblLook w:val="04A0" w:firstRow="1" w:lastRow="0" w:firstColumn="1" w:lastColumn="0" w:noHBand="0" w:noVBand="1"/>
      </w:tblPr>
      <w:tblGrid>
        <w:gridCol w:w="2700"/>
        <w:gridCol w:w="4765"/>
      </w:tblGrid>
      <w:tr w:rsidR="00405E9C" w:rsidRPr="00405E9C" w:rsidTr="00405E9C">
        <w:trPr>
          <w:trHeight w:val="440"/>
          <w:jc w:val="center"/>
        </w:trPr>
        <w:tc>
          <w:tcPr>
            <w:tcW w:w="2700" w:type="dxa"/>
          </w:tcPr>
          <w:bookmarkEnd w:id="0"/>
          <w:p w:rsidR="00405E9C" w:rsidRPr="00405E9C" w:rsidRDefault="00405E9C" w:rsidP="00405E9C">
            <w:pPr>
              <w:spacing w:after="200" w:line="276" w:lineRule="auto"/>
              <w:ind w:left="0" w:firstLine="0"/>
              <w:jc w:val="center"/>
              <w:rPr>
                <w:rFonts w:eastAsia="Calibri"/>
                <w:color w:val="auto"/>
                <w:szCs w:val="24"/>
              </w:rPr>
            </w:pPr>
            <w:r w:rsidRPr="00405E9C">
              <w:rPr>
                <w:rFonts w:eastAsia="Calibri"/>
                <w:color w:val="auto"/>
                <w:szCs w:val="24"/>
              </w:rPr>
              <w:t>Approval Number</w:t>
            </w:r>
          </w:p>
        </w:tc>
        <w:tc>
          <w:tcPr>
            <w:tcW w:w="4765" w:type="dxa"/>
          </w:tcPr>
          <w:p w:rsidR="00405E9C" w:rsidRPr="00405E9C" w:rsidRDefault="00405E9C" w:rsidP="00405E9C">
            <w:pPr>
              <w:spacing w:after="200" w:line="276" w:lineRule="auto"/>
              <w:ind w:left="0" w:firstLine="0"/>
              <w:jc w:val="center"/>
              <w:rPr>
                <w:rFonts w:eastAsia="Calibri"/>
                <w:color w:val="auto"/>
                <w:sz w:val="20"/>
                <w:szCs w:val="24"/>
              </w:rPr>
            </w:pPr>
          </w:p>
        </w:tc>
      </w:tr>
      <w:tr w:rsidR="00405E9C" w:rsidRPr="00405E9C" w:rsidTr="00405E9C">
        <w:trPr>
          <w:jc w:val="center"/>
        </w:trPr>
        <w:tc>
          <w:tcPr>
            <w:tcW w:w="2700" w:type="dxa"/>
          </w:tcPr>
          <w:p w:rsidR="00405E9C" w:rsidRPr="00405E9C" w:rsidRDefault="00405E9C" w:rsidP="00405E9C">
            <w:pPr>
              <w:spacing w:after="200" w:line="276" w:lineRule="auto"/>
              <w:ind w:left="0" w:firstLine="0"/>
              <w:jc w:val="center"/>
              <w:rPr>
                <w:rFonts w:eastAsia="Calibri"/>
                <w:color w:val="auto"/>
                <w:szCs w:val="24"/>
              </w:rPr>
            </w:pPr>
            <w:r w:rsidRPr="00405E9C">
              <w:rPr>
                <w:rFonts w:eastAsia="Calibri"/>
                <w:color w:val="auto"/>
                <w:szCs w:val="24"/>
              </w:rPr>
              <w:t>AH Name</w:t>
            </w:r>
          </w:p>
        </w:tc>
        <w:tc>
          <w:tcPr>
            <w:tcW w:w="4765" w:type="dxa"/>
          </w:tcPr>
          <w:p w:rsidR="00405E9C" w:rsidRPr="00405E9C" w:rsidRDefault="00405E9C" w:rsidP="00405E9C">
            <w:pPr>
              <w:spacing w:after="200" w:line="276" w:lineRule="auto"/>
              <w:ind w:left="0" w:firstLine="0"/>
              <w:jc w:val="center"/>
              <w:rPr>
                <w:rFonts w:eastAsia="Calibri"/>
                <w:color w:val="auto"/>
                <w:sz w:val="20"/>
                <w:szCs w:val="24"/>
              </w:rPr>
            </w:pPr>
          </w:p>
        </w:tc>
      </w:tr>
      <w:tr w:rsidR="00405E9C" w:rsidRPr="00405E9C" w:rsidTr="00405E9C">
        <w:trPr>
          <w:jc w:val="center"/>
        </w:trPr>
        <w:tc>
          <w:tcPr>
            <w:tcW w:w="2700" w:type="dxa"/>
          </w:tcPr>
          <w:p w:rsidR="00405E9C" w:rsidRPr="00405E9C" w:rsidRDefault="00405E9C" w:rsidP="00405E9C">
            <w:pPr>
              <w:spacing w:after="200" w:line="276" w:lineRule="auto"/>
              <w:ind w:left="0" w:firstLine="0"/>
              <w:jc w:val="center"/>
              <w:rPr>
                <w:rFonts w:eastAsia="Calibri"/>
                <w:color w:val="auto"/>
                <w:szCs w:val="24"/>
              </w:rPr>
            </w:pPr>
            <w:r w:rsidRPr="00405E9C">
              <w:rPr>
                <w:rFonts w:eastAsia="Calibri"/>
                <w:color w:val="auto"/>
                <w:szCs w:val="24"/>
              </w:rPr>
              <w:t>ASC Name</w:t>
            </w:r>
          </w:p>
        </w:tc>
        <w:tc>
          <w:tcPr>
            <w:tcW w:w="4765" w:type="dxa"/>
          </w:tcPr>
          <w:p w:rsidR="00405E9C" w:rsidRPr="00405E9C" w:rsidRDefault="00405E9C" w:rsidP="00405E9C">
            <w:pPr>
              <w:spacing w:after="200" w:line="276" w:lineRule="auto"/>
              <w:ind w:left="0" w:firstLine="0"/>
              <w:jc w:val="center"/>
              <w:rPr>
                <w:rFonts w:eastAsia="Calibri"/>
                <w:color w:val="auto"/>
                <w:sz w:val="20"/>
                <w:szCs w:val="24"/>
              </w:rPr>
            </w:pPr>
          </w:p>
        </w:tc>
      </w:tr>
      <w:tr w:rsidR="00405E9C" w:rsidRPr="00405E9C" w:rsidTr="00405E9C">
        <w:trPr>
          <w:trHeight w:val="440"/>
          <w:jc w:val="center"/>
        </w:trPr>
        <w:tc>
          <w:tcPr>
            <w:tcW w:w="2700" w:type="dxa"/>
          </w:tcPr>
          <w:p w:rsidR="00405E9C" w:rsidRPr="00405E9C" w:rsidRDefault="00405E9C" w:rsidP="00405E9C">
            <w:pPr>
              <w:spacing w:after="200" w:line="276" w:lineRule="auto"/>
              <w:ind w:left="0" w:firstLine="0"/>
              <w:jc w:val="center"/>
              <w:rPr>
                <w:rFonts w:eastAsia="Calibri"/>
                <w:color w:val="auto"/>
                <w:szCs w:val="24"/>
              </w:rPr>
            </w:pPr>
            <w:r w:rsidRPr="00405E9C">
              <w:rPr>
                <w:rFonts w:eastAsia="Calibri"/>
                <w:color w:val="auto"/>
                <w:szCs w:val="24"/>
              </w:rPr>
              <w:t>Date</w:t>
            </w:r>
          </w:p>
        </w:tc>
        <w:tc>
          <w:tcPr>
            <w:tcW w:w="4765" w:type="dxa"/>
          </w:tcPr>
          <w:p w:rsidR="00405E9C" w:rsidRPr="00405E9C" w:rsidRDefault="00405E9C" w:rsidP="00405E9C">
            <w:pPr>
              <w:spacing w:after="200" w:line="276" w:lineRule="auto"/>
              <w:ind w:left="0" w:firstLine="0"/>
              <w:jc w:val="center"/>
              <w:rPr>
                <w:rFonts w:eastAsia="Calibri"/>
                <w:color w:val="auto"/>
                <w:sz w:val="20"/>
                <w:szCs w:val="24"/>
              </w:rPr>
            </w:pPr>
          </w:p>
        </w:tc>
      </w:tr>
    </w:tbl>
    <w:p w:rsidR="001E19C2" w:rsidRPr="00405E9C" w:rsidRDefault="00405E9C">
      <w:pPr>
        <w:spacing w:after="16"/>
        <w:ind w:left="0" w:firstLine="0"/>
      </w:pPr>
      <w:r>
        <w:t xml:space="preserve"> </w:t>
      </w:r>
    </w:p>
    <w:p w:rsidR="001E19C2" w:rsidRPr="00405E9C" w:rsidRDefault="00405E9C">
      <w:pPr>
        <w:ind w:left="-5"/>
      </w:pPr>
      <w:r w:rsidRPr="00405E9C">
        <w:t xml:space="preserve">Registration Status </w:t>
      </w:r>
    </w:p>
    <w:tbl>
      <w:tblPr>
        <w:tblStyle w:val="TableGrid"/>
        <w:tblW w:w="9810" w:type="dxa"/>
        <w:tblInd w:w="-5" w:type="dxa"/>
        <w:tblCellMar>
          <w:top w:w="10" w:type="dxa"/>
          <w:left w:w="108" w:type="dxa"/>
          <w:bottom w:w="0" w:type="dxa"/>
          <w:right w:w="61" w:type="dxa"/>
        </w:tblCellMar>
        <w:tblLook w:val="04A0" w:firstRow="1" w:lastRow="0" w:firstColumn="1" w:lastColumn="0" w:noHBand="0" w:noVBand="1"/>
      </w:tblPr>
      <w:tblGrid>
        <w:gridCol w:w="450"/>
        <w:gridCol w:w="450"/>
        <w:gridCol w:w="630"/>
        <w:gridCol w:w="5738"/>
        <w:gridCol w:w="2542"/>
      </w:tblGrid>
      <w:tr w:rsidR="001E19C2" w:rsidRPr="00405E9C" w:rsidTr="00405E9C">
        <w:trPr>
          <w:trHeight w:val="477"/>
        </w:trPr>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37" w:firstLine="0"/>
            </w:pPr>
            <w:r w:rsidRPr="00405E9C">
              <w:t xml:space="preserve">Y </w:t>
            </w:r>
          </w:p>
        </w:tc>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37" w:firstLine="0"/>
            </w:pPr>
            <w:r w:rsidRPr="00405E9C">
              <w:t xml:space="preserve">N </w:t>
            </w:r>
          </w:p>
        </w:tc>
        <w:tc>
          <w:tcPr>
            <w:tcW w:w="63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17" w:firstLine="0"/>
            </w:pPr>
            <w:r w:rsidRPr="00405E9C">
              <w:t xml:space="preserve">N/A </w:t>
            </w:r>
          </w:p>
        </w:tc>
        <w:tc>
          <w:tcPr>
            <w:tcW w:w="5738"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0" w:right="48" w:firstLine="0"/>
              <w:jc w:val="center"/>
            </w:pPr>
            <w:r w:rsidRPr="00405E9C">
              <w:t xml:space="preserve">Inspection Item </w:t>
            </w:r>
          </w:p>
        </w:tc>
        <w:tc>
          <w:tcPr>
            <w:tcW w:w="2542"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0" w:right="48" w:firstLine="0"/>
              <w:jc w:val="center"/>
            </w:pPr>
            <w:r w:rsidRPr="00405E9C">
              <w:t xml:space="preserve">Comments </w:t>
            </w:r>
          </w:p>
        </w:tc>
      </w:tr>
      <w:tr w:rsidR="001E19C2" w:rsidRPr="00405E9C" w:rsidTr="00405E9C">
        <w:trPr>
          <w:trHeight w:val="470"/>
        </w:trPr>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Controlled Substance Registration Certificate current and all information valid </w:t>
            </w:r>
          </w:p>
        </w:tc>
        <w:tc>
          <w:tcPr>
            <w:tcW w:w="2542"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470"/>
        </w:trPr>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Controlled Substance Registration Certificate contains the schedules for all controlled substance merchandise used in research </w:t>
            </w:r>
          </w:p>
        </w:tc>
        <w:tc>
          <w:tcPr>
            <w:tcW w:w="2542"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700"/>
        </w:trPr>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If Controlled Substance Registration Certificate was modified to reflect a new address or schedules, the modified certificate is maintained until the next renewal date </w:t>
            </w:r>
          </w:p>
        </w:tc>
        <w:tc>
          <w:tcPr>
            <w:tcW w:w="2542"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470"/>
        </w:trPr>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Registrant has a copy of DEA Form 224 or 225 Application for New Registrati</w:t>
            </w:r>
            <w:r w:rsidRPr="00405E9C">
              <w:rPr>
                <w:b w:val="0"/>
              </w:rPr>
              <w:t xml:space="preserve">on Under Controlled Substances Act of 1970 </w:t>
            </w:r>
          </w:p>
        </w:tc>
        <w:tc>
          <w:tcPr>
            <w:tcW w:w="2542"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470"/>
        </w:trPr>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Registrant’s next renewal date is prior to the next chemical safety annual inspection </w:t>
            </w:r>
          </w:p>
        </w:tc>
        <w:tc>
          <w:tcPr>
            <w:tcW w:w="2542"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bl>
    <w:p w:rsidR="001E19C2" w:rsidRPr="00405E9C" w:rsidRDefault="00405E9C">
      <w:pPr>
        <w:spacing w:after="16"/>
        <w:ind w:left="0" w:firstLine="0"/>
      </w:pPr>
      <w:r w:rsidRPr="00405E9C">
        <w:t xml:space="preserve"> </w:t>
      </w:r>
    </w:p>
    <w:p w:rsidR="001E19C2" w:rsidRPr="00405E9C" w:rsidRDefault="00405E9C">
      <w:pPr>
        <w:ind w:left="-5"/>
      </w:pPr>
      <w:r w:rsidRPr="00405E9C">
        <w:t xml:space="preserve">Inventory Control </w:t>
      </w:r>
    </w:p>
    <w:tbl>
      <w:tblPr>
        <w:tblStyle w:val="TableGrid"/>
        <w:tblW w:w="9692" w:type="dxa"/>
        <w:tblInd w:w="113" w:type="dxa"/>
        <w:tblCellMar>
          <w:top w:w="10" w:type="dxa"/>
          <w:left w:w="108" w:type="dxa"/>
          <w:bottom w:w="0" w:type="dxa"/>
          <w:right w:w="61" w:type="dxa"/>
        </w:tblCellMar>
        <w:tblLook w:val="04A0" w:firstRow="1" w:lastRow="0" w:firstColumn="1" w:lastColumn="0" w:noHBand="0" w:noVBand="1"/>
      </w:tblPr>
      <w:tblGrid>
        <w:gridCol w:w="450"/>
        <w:gridCol w:w="450"/>
        <w:gridCol w:w="630"/>
        <w:gridCol w:w="5738"/>
        <w:gridCol w:w="2424"/>
      </w:tblGrid>
      <w:tr w:rsidR="001E19C2" w:rsidRPr="00405E9C" w:rsidTr="00405E9C">
        <w:trPr>
          <w:trHeight w:val="478"/>
        </w:trPr>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37" w:firstLine="0"/>
            </w:pPr>
            <w:r w:rsidRPr="00405E9C">
              <w:t xml:space="preserve">Y </w:t>
            </w:r>
          </w:p>
        </w:tc>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37" w:firstLine="0"/>
            </w:pPr>
            <w:r w:rsidRPr="00405E9C">
              <w:t xml:space="preserve">N </w:t>
            </w:r>
          </w:p>
        </w:tc>
        <w:tc>
          <w:tcPr>
            <w:tcW w:w="63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17" w:firstLine="0"/>
            </w:pPr>
            <w:r w:rsidRPr="00405E9C">
              <w:t xml:space="preserve">N/A </w:t>
            </w:r>
          </w:p>
        </w:tc>
        <w:tc>
          <w:tcPr>
            <w:tcW w:w="5738"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0" w:right="48" w:firstLine="0"/>
              <w:jc w:val="center"/>
            </w:pPr>
            <w:r w:rsidRPr="00405E9C">
              <w:t xml:space="preserve">Inspection Item </w:t>
            </w:r>
          </w:p>
        </w:tc>
        <w:tc>
          <w:tcPr>
            <w:tcW w:w="2424"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0" w:right="48" w:firstLine="0"/>
              <w:jc w:val="center"/>
            </w:pPr>
            <w:r w:rsidRPr="00405E9C">
              <w:t xml:space="preserve">Comments </w:t>
            </w:r>
          </w:p>
        </w:tc>
      </w:tr>
      <w:tr w:rsidR="001E19C2" w:rsidRPr="00405E9C" w:rsidTr="00405E9C">
        <w:trPr>
          <w:trHeight w:val="700"/>
        </w:trPr>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Each inventory contains a complete and accurate record of all controlled substances on hand on the date inventory is taken including any disposal or destruction of controlled substances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425"/>
        </w:trPr>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0" w:firstLine="0"/>
            </w:pPr>
            <w:r w:rsidRPr="00405E9C">
              <w:rPr>
                <w:b w:val="0"/>
              </w:rPr>
              <w:t xml:space="preserve">Inventory records are retained for two years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470"/>
        </w:trPr>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Inventory records of Schedule I and II are maintained separately from all records of the registrant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700"/>
        </w:trPr>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right="14" w:firstLine="0"/>
            </w:pPr>
            <w:r w:rsidRPr="00405E9C">
              <w:rPr>
                <w:b w:val="0"/>
              </w:rPr>
              <w:t xml:space="preserve">Registrant has taken mandatory DEA initial </w:t>
            </w:r>
            <w:r w:rsidRPr="00405E9C">
              <w:rPr>
                <w:b w:val="0"/>
              </w:rPr>
              <w:t xml:space="preserve">inventory of all stocks of controlled substances when he/she first engages in controlled substance use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701"/>
        </w:trPr>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Registrant has taken inventory within two years of mandatory DEA initial inventory and a minimum of every two years afterward; recommendation is for monthly inventory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1390"/>
        </w:trPr>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8" w:firstLine="0"/>
              <w:jc w:val="both"/>
            </w:pPr>
            <w:r w:rsidRPr="00405E9C">
              <w:lastRenderedPageBreak/>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spacing w:line="238" w:lineRule="auto"/>
              <w:ind w:left="0" w:firstLine="0"/>
            </w:pPr>
            <w:r w:rsidRPr="00405E9C">
              <w:rPr>
                <w:b w:val="0"/>
              </w:rPr>
              <w:t>Inventory includes name of substance, each finished form of substance (i.e. 10 mg tablet or 10 mg concentration per fluid ounce or milliliter), number of units or volume (i.e. 100 tablet bottles or 3 mL vial), number of commercial containers of each finish</w:t>
            </w:r>
            <w:r w:rsidRPr="00405E9C">
              <w:rPr>
                <w:b w:val="0"/>
              </w:rPr>
              <w:t xml:space="preserve">ed form (i.e. four 100 tablet bottles or six 3mL vials), and time of use (i.e. </w:t>
            </w:r>
          </w:p>
          <w:p w:rsidR="001E19C2" w:rsidRPr="00405E9C" w:rsidRDefault="00405E9C">
            <w:pPr>
              <w:ind w:left="0" w:firstLine="0"/>
            </w:pPr>
            <w:r w:rsidRPr="00405E9C">
              <w:rPr>
                <w:b w:val="0"/>
              </w:rPr>
              <w:t xml:space="preserve">COB)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700"/>
        </w:trPr>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right="4" w:firstLine="0"/>
            </w:pPr>
            <w:r w:rsidRPr="00405E9C">
              <w:rPr>
                <w:b w:val="0"/>
              </w:rPr>
              <w:t xml:space="preserve">Registrant has maintained an accurate, current and complete record of each substance received, date of receipt, date of distribution and/or dispensing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470"/>
        </w:trPr>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Primary and secondary containers (including dilutions of controlled substances) are properly labeled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470"/>
        </w:trPr>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Inventory accurately reflects date of disposition of controlled substances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bl>
    <w:p w:rsidR="001E19C2" w:rsidRPr="00405E9C" w:rsidRDefault="00405E9C">
      <w:pPr>
        <w:spacing w:after="16"/>
        <w:ind w:left="0" w:firstLine="0"/>
      </w:pPr>
      <w:r w:rsidRPr="00405E9C">
        <w:t xml:space="preserve"> </w:t>
      </w:r>
    </w:p>
    <w:p w:rsidR="001E19C2" w:rsidRPr="00405E9C" w:rsidRDefault="001E19C2">
      <w:pPr>
        <w:ind w:left="0" w:firstLine="0"/>
      </w:pPr>
    </w:p>
    <w:p w:rsidR="001E19C2" w:rsidRPr="00405E9C" w:rsidRDefault="00405E9C">
      <w:pPr>
        <w:ind w:left="-5"/>
      </w:pPr>
      <w:r w:rsidRPr="00405E9C">
        <w:t xml:space="preserve">Record Keeping </w:t>
      </w:r>
    </w:p>
    <w:tbl>
      <w:tblPr>
        <w:tblStyle w:val="TableGrid"/>
        <w:tblW w:w="9692" w:type="dxa"/>
        <w:tblInd w:w="113" w:type="dxa"/>
        <w:tblCellMar>
          <w:top w:w="10" w:type="dxa"/>
          <w:left w:w="108" w:type="dxa"/>
          <w:bottom w:w="0" w:type="dxa"/>
          <w:right w:w="61" w:type="dxa"/>
        </w:tblCellMar>
        <w:tblLook w:val="04A0" w:firstRow="1" w:lastRow="0" w:firstColumn="1" w:lastColumn="0" w:noHBand="0" w:noVBand="1"/>
      </w:tblPr>
      <w:tblGrid>
        <w:gridCol w:w="450"/>
        <w:gridCol w:w="450"/>
        <w:gridCol w:w="630"/>
        <w:gridCol w:w="5738"/>
        <w:gridCol w:w="2424"/>
      </w:tblGrid>
      <w:tr w:rsidR="001E19C2" w:rsidRPr="00405E9C" w:rsidTr="00405E9C">
        <w:trPr>
          <w:trHeight w:val="478"/>
        </w:trPr>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37" w:firstLine="0"/>
            </w:pPr>
            <w:r w:rsidRPr="00405E9C">
              <w:t xml:space="preserve">Y </w:t>
            </w:r>
          </w:p>
        </w:tc>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37" w:firstLine="0"/>
            </w:pPr>
            <w:r w:rsidRPr="00405E9C">
              <w:t xml:space="preserve">N </w:t>
            </w:r>
          </w:p>
        </w:tc>
        <w:tc>
          <w:tcPr>
            <w:tcW w:w="63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17" w:firstLine="0"/>
            </w:pPr>
            <w:r w:rsidRPr="00405E9C">
              <w:t xml:space="preserve">N/A </w:t>
            </w:r>
          </w:p>
        </w:tc>
        <w:tc>
          <w:tcPr>
            <w:tcW w:w="5738"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0" w:right="48" w:firstLine="0"/>
              <w:jc w:val="center"/>
            </w:pPr>
            <w:r w:rsidRPr="00405E9C">
              <w:t xml:space="preserve">Inspection Item </w:t>
            </w:r>
          </w:p>
        </w:tc>
        <w:tc>
          <w:tcPr>
            <w:tcW w:w="2424"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0" w:right="48" w:firstLine="0"/>
              <w:jc w:val="center"/>
            </w:pPr>
            <w:r w:rsidRPr="00405E9C">
              <w:t xml:space="preserve">Comments </w:t>
            </w:r>
          </w:p>
        </w:tc>
      </w:tr>
      <w:tr w:rsidR="001E19C2" w:rsidRPr="00405E9C" w:rsidTr="00405E9C">
        <w:trPr>
          <w:trHeight w:val="470"/>
        </w:trPr>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All dispensed controlled substances taken from existing inventories are recorded in a logbook (paper or electronic)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930"/>
        </w:trPr>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Records indicate controlled substance name, strength, quantity, date of dispensation, the </w:t>
            </w:r>
            <w:r w:rsidRPr="00405E9C">
              <w:rPr>
                <w:b w:val="0"/>
              </w:rPr>
              <w:t xml:space="preserve">name of person or animal ID administered the controlled substance, and initials of the registrant/agent who dispensed or administered the controlled substance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470"/>
        </w:trPr>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ORCBS Internal Transfer Forms are current for controlled substances transferred </w:t>
            </w:r>
            <w:r w:rsidRPr="00405E9C">
              <w:rPr>
                <w:b w:val="0"/>
              </w:rPr>
              <w:t xml:space="preserve">to other UA registrants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424"/>
        </w:trPr>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Registrant has used DEA Form 41 to document disposal procedures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bl>
    <w:p w:rsidR="001E19C2" w:rsidRPr="00405E9C" w:rsidRDefault="00405E9C">
      <w:pPr>
        <w:spacing w:after="17"/>
        <w:ind w:left="0" w:firstLine="0"/>
      </w:pPr>
      <w:r w:rsidRPr="00405E9C">
        <w:t xml:space="preserve"> </w:t>
      </w:r>
    </w:p>
    <w:p w:rsidR="001E19C2" w:rsidRPr="00405E9C" w:rsidRDefault="00405E9C">
      <w:pPr>
        <w:ind w:left="-5"/>
      </w:pPr>
      <w:r w:rsidRPr="00405E9C">
        <w:t xml:space="preserve">Dispensation </w:t>
      </w:r>
    </w:p>
    <w:tbl>
      <w:tblPr>
        <w:tblStyle w:val="TableGrid"/>
        <w:tblW w:w="9692" w:type="dxa"/>
        <w:tblInd w:w="113" w:type="dxa"/>
        <w:tblCellMar>
          <w:top w:w="10" w:type="dxa"/>
          <w:left w:w="108" w:type="dxa"/>
          <w:bottom w:w="0" w:type="dxa"/>
          <w:right w:w="61" w:type="dxa"/>
        </w:tblCellMar>
        <w:tblLook w:val="04A0" w:firstRow="1" w:lastRow="0" w:firstColumn="1" w:lastColumn="0" w:noHBand="0" w:noVBand="1"/>
      </w:tblPr>
      <w:tblGrid>
        <w:gridCol w:w="450"/>
        <w:gridCol w:w="450"/>
        <w:gridCol w:w="630"/>
        <w:gridCol w:w="5738"/>
        <w:gridCol w:w="2424"/>
      </w:tblGrid>
      <w:tr w:rsidR="001E19C2" w:rsidRPr="00405E9C" w:rsidTr="00405E9C">
        <w:trPr>
          <w:trHeight w:val="478"/>
        </w:trPr>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37" w:firstLine="0"/>
            </w:pPr>
            <w:r w:rsidRPr="00405E9C">
              <w:t xml:space="preserve">Y </w:t>
            </w:r>
          </w:p>
        </w:tc>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37" w:firstLine="0"/>
            </w:pPr>
            <w:r w:rsidRPr="00405E9C">
              <w:t xml:space="preserve">N </w:t>
            </w:r>
          </w:p>
        </w:tc>
        <w:tc>
          <w:tcPr>
            <w:tcW w:w="63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17" w:firstLine="0"/>
            </w:pPr>
            <w:r w:rsidRPr="00405E9C">
              <w:t xml:space="preserve">N/A </w:t>
            </w:r>
          </w:p>
        </w:tc>
        <w:tc>
          <w:tcPr>
            <w:tcW w:w="5738"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0" w:right="48" w:firstLine="0"/>
              <w:jc w:val="center"/>
            </w:pPr>
            <w:r w:rsidRPr="00405E9C">
              <w:t xml:space="preserve">Inspection Item </w:t>
            </w:r>
          </w:p>
        </w:tc>
        <w:tc>
          <w:tcPr>
            <w:tcW w:w="2424"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0" w:right="48" w:firstLine="0"/>
              <w:jc w:val="center"/>
            </w:pPr>
            <w:r w:rsidRPr="00405E9C">
              <w:t xml:space="preserve">Comments </w:t>
            </w:r>
          </w:p>
        </w:tc>
      </w:tr>
      <w:tr w:rsidR="001E19C2" w:rsidRPr="00405E9C" w:rsidTr="00405E9C">
        <w:trPr>
          <w:trHeight w:val="469"/>
        </w:trPr>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Written instructions are provided to verified workers that are dispensed controlled substances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470"/>
        </w:trPr>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If the dispenser is not the registrant, the registrant has provided protocol or agent-specific written authorization for the dispensation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700"/>
        </w:trPr>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Dispensation is within limits (no more than 240 CC or 48 doses of opiates and no more than 120 CC or 24 doses of other controlled substances)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470"/>
        </w:trPr>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All dispensers and workers who receive dispensed controlled substances are over the age of 18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471"/>
        </w:trPr>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Any unused dispensed controlled substances are destroyed or returned to the registrant/dispenser by the end of the day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bl>
    <w:p w:rsidR="001E19C2" w:rsidRPr="00405E9C" w:rsidRDefault="00405E9C">
      <w:pPr>
        <w:spacing w:after="16"/>
        <w:ind w:left="0" w:firstLine="0"/>
      </w:pPr>
      <w:r w:rsidRPr="00405E9C">
        <w:t xml:space="preserve"> </w:t>
      </w:r>
    </w:p>
    <w:p w:rsidR="001E19C2" w:rsidRPr="00405E9C" w:rsidRDefault="00405E9C">
      <w:pPr>
        <w:ind w:left="-5"/>
      </w:pPr>
      <w:r w:rsidRPr="00405E9C">
        <w:lastRenderedPageBreak/>
        <w:t xml:space="preserve">Order Forms </w:t>
      </w:r>
    </w:p>
    <w:tbl>
      <w:tblPr>
        <w:tblStyle w:val="TableGrid"/>
        <w:tblW w:w="9692" w:type="dxa"/>
        <w:tblInd w:w="113" w:type="dxa"/>
        <w:tblCellMar>
          <w:top w:w="10" w:type="dxa"/>
          <w:left w:w="108" w:type="dxa"/>
          <w:bottom w:w="0" w:type="dxa"/>
          <w:right w:w="61" w:type="dxa"/>
        </w:tblCellMar>
        <w:tblLook w:val="04A0" w:firstRow="1" w:lastRow="0" w:firstColumn="1" w:lastColumn="0" w:noHBand="0" w:noVBand="1"/>
      </w:tblPr>
      <w:tblGrid>
        <w:gridCol w:w="450"/>
        <w:gridCol w:w="450"/>
        <w:gridCol w:w="630"/>
        <w:gridCol w:w="5738"/>
        <w:gridCol w:w="2424"/>
      </w:tblGrid>
      <w:tr w:rsidR="001E19C2" w:rsidRPr="00405E9C" w:rsidTr="00405E9C">
        <w:trPr>
          <w:trHeight w:val="476"/>
        </w:trPr>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37" w:firstLine="0"/>
            </w:pPr>
            <w:r w:rsidRPr="00405E9C">
              <w:t xml:space="preserve">Y </w:t>
            </w:r>
          </w:p>
        </w:tc>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37" w:firstLine="0"/>
            </w:pPr>
            <w:r w:rsidRPr="00405E9C">
              <w:t xml:space="preserve">N </w:t>
            </w:r>
          </w:p>
        </w:tc>
        <w:tc>
          <w:tcPr>
            <w:tcW w:w="63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17" w:firstLine="0"/>
            </w:pPr>
            <w:r w:rsidRPr="00405E9C">
              <w:t xml:space="preserve">N/A </w:t>
            </w:r>
          </w:p>
        </w:tc>
        <w:tc>
          <w:tcPr>
            <w:tcW w:w="5738"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0" w:right="48" w:firstLine="0"/>
              <w:jc w:val="center"/>
            </w:pPr>
            <w:r w:rsidRPr="00405E9C">
              <w:t xml:space="preserve">Inspection Item </w:t>
            </w:r>
          </w:p>
        </w:tc>
        <w:tc>
          <w:tcPr>
            <w:tcW w:w="2424"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0" w:right="48" w:firstLine="0"/>
              <w:jc w:val="center"/>
            </w:pPr>
            <w:r w:rsidRPr="00405E9C">
              <w:t xml:space="preserve">Comments </w:t>
            </w:r>
          </w:p>
        </w:tc>
      </w:tr>
      <w:tr w:rsidR="001E19C2" w:rsidRPr="00405E9C" w:rsidTr="00405E9C">
        <w:trPr>
          <w:trHeight w:val="470"/>
        </w:trPr>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DEA Form 222 (Order Form) used to obtain or distribute a Schedule I or II controlled substance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424"/>
        </w:trPr>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DEA Form 222 (Order Form) is maintained for at least 2 years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470"/>
        </w:trPr>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Lost or stolen DEA Forms 222 are reported to the local Diversion Group at the DEA Office at 573-5500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700"/>
        </w:trPr>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All out-of-</w:t>
            </w:r>
            <w:r w:rsidRPr="00405E9C">
              <w:rPr>
                <w:b w:val="0"/>
              </w:rPr>
              <w:t xml:space="preserve">date DEA Form 222s (e.g. due to an address change) have been returned to the local DEA office; all unused DEA Form 222s are returned when a registrant inactivates their registration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470"/>
        </w:trPr>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right="10" w:firstLine="0"/>
            </w:pPr>
            <w:r w:rsidRPr="00405E9C">
              <w:rPr>
                <w:b w:val="0"/>
              </w:rPr>
              <w:t xml:space="preserve">Power of attorney letters are </w:t>
            </w:r>
            <w:r w:rsidRPr="00405E9C">
              <w:rPr>
                <w:b w:val="0"/>
              </w:rPr>
              <w:t xml:space="preserve">on hand for each agent given permission to sign DEA Form 222s by the registrant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bl>
    <w:p w:rsidR="001E19C2" w:rsidRPr="00405E9C" w:rsidRDefault="00405E9C">
      <w:pPr>
        <w:spacing w:after="17"/>
        <w:ind w:left="0" w:firstLine="0"/>
      </w:pPr>
      <w:r w:rsidRPr="00405E9C">
        <w:t xml:space="preserve"> </w:t>
      </w:r>
    </w:p>
    <w:p w:rsidR="001E19C2" w:rsidRPr="00405E9C" w:rsidRDefault="00405E9C">
      <w:pPr>
        <w:ind w:left="-5"/>
      </w:pPr>
      <w:r w:rsidRPr="00405E9C">
        <w:t xml:space="preserve">Disposal of Expired Controlled Substances </w:t>
      </w:r>
    </w:p>
    <w:tbl>
      <w:tblPr>
        <w:tblStyle w:val="TableGrid"/>
        <w:tblW w:w="9692" w:type="dxa"/>
        <w:tblInd w:w="113" w:type="dxa"/>
        <w:tblCellMar>
          <w:top w:w="10" w:type="dxa"/>
          <w:left w:w="108" w:type="dxa"/>
          <w:bottom w:w="0" w:type="dxa"/>
          <w:right w:w="61" w:type="dxa"/>
        </w:tblCellMar>
        <w:tblLook w:val="04A0" w:firstRow="1" w:lastRow="0" w:firstColumn="1" w:lastColumn="0" w:noHBand="0" w:noVBand="1"/>
      </w:tblPr>
      <w:tblGrid>
        <w:gridCol w:w="450"/>
        <w:gridCol w:w="450"/>
        <w:gridCol w:w="630"/>
        <w:gridCol w:w="5738"/>
        <w:gridCol w:w="2424"/>
      </w:tblGrid>
      <w:tr w:rsidR="001E19C2" w:rsidRPr="00405E9C" w:rsidTr="00405E9C">
        <w:trPr>
          <w:trHeight w:val="478"/>
        </w:trPr>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37" w:firstLine="0"/>
            </w:pPr>
            <w:r w:rsidRPr="00405E9C">
              <w:t xml:space="preserve">Y </w:t>
            </w:r>
          </w:p>
        </w:tc>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37" w:firstLine="0"/>
            </w:pPr>
            <w:r w:rsidRPr="00405E9C">
              <w:t xml:space="preserve">N </w:t>
            </w:r>
          </w:p>
        </w:tc>
        <w:tc>
          <w:tcPr>
            <w:tcW w:w="63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17" w:firstLine="0"/>
            </w:pPr>
            <w:r w:rsidRPr="00405E9C">
              <w:t xml:space="preserve">N/A </w:t>
            </w:r>
          </w:p>
        </w:tc>
        <w:tc>
          <w:tcPr>
            <w:tcW w:w="5738"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0" w:right="48" w:firstLine="0"/>
              <w:jc w:val="center"/>
            </w:pPr>
            <w:r w:rsidRPr="00405E9C">
              <w:t xml:space="preserve">Inspection Item </w:t>
            </w:r>
          </w:p>
        </w:tc>
        <w:tc>
          <w:tcPr>
            <w:tcW w:w="2424"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0" w:right="48" w:firstLine="0"/>
              <w:jc w:val="center"/>
            </w:pPr>
            <w:r w:rsidRPr="00405E9C">
              <w:t xml:space="preserve">Comments </w:t>
            </w:r>
          </w:p>
        </w:tc>
      </w:tr>
      <w:tr w:rsidR="001E19C2" w:rsidRPr="00405E9C" w:rsidTr="00405E9C">
        <w:trPr>
          <w:trHeight w:val="469"/>
        </w:trPr>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Controlled substance distributors are contacted to request collection of expired controlled substances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471"/>
        </w:trPr>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Risk Management Services is contacted for disposal of all controlled substance waste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bl>
    <w:p w:rsidR="001E19C2" w:rsidRPr="00405E9C" w:rsidRDefault="001E19C2">
      <w:pPr>
        <w:ind w:left="0" w:firstLine="0"/>
      </w:pPr>
    </w:p>
    <w:p w:rsidR="001E19C2" w:rsidRPr="00405E9C" w:rsidRDefault="00405E9C">
      <w:pPr>
        <w:ind w:left="-5"/>
      </w:pPr>
      <w:r w:rsidRPr="00405E9C">
        <w:t xml:space="preserve">Security Requirements </w:t>
      </w:r>
    </w:p>
    <w:tbl>
      <w:tblPr>
        <w:tblStyle w:val="TableGrid"/>
        <w:tblW w:w="9692" w:type="dxa"/>
        <w:tblInd w:w="113" w:type="dxa"/>
        <w:tblCellMar>
          <w:top w:w="10" w:type="dxa"/>
          <w:left w:w="108" w:type="dxa"/>
          <w:bottom w:w="0" w:type="dxa"/>
          <w:right w:w="61" w:type="dxa"/>
        </w:tblCellMar>
        <w:tblLook w:val="04A0" w:firstRow="1" w:lastRow="0" w:firstColumn="1" w:lastColumn="0" w:noHBand="0" w:noVBand="1"/>
      </w:tblPr>
      <w:tblGrid>
        <w:gridCol w:w="450"/>
        <w:gridCol w:w="450"/>
        <w:gridCol w:w="630"/>
        <w:gridCol w:w="5738"/>
        <w:gridCol w:w="2424"/>
      </w:tblGrid>
      <w:tr w:rsidR="001E19C2" w:rsidRPr="00405E9C" w:rsidTr="00405E9C">
        <w:trPr>
          <w:trHeight w:val="478"/>
        </w:trPr>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37" w:firstLine="0"/>
            </w:pPr>
            <w:r w:rsidRPr="00405E9C">
              <w:t xml:space="preserve">Y </w:t>
            </w:r>
          </w:p>
        </w:tc>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37" w:firstLine="0"/>
            </w:pPr>
            <w:r w:rsidRPr="00405E9C">
              <w:t xml:space="preserve">N </w:t>
            </w:r>
          </w:p>
        </w:tc>
        <w:tc>
          <w:tcPr>
            <w:tcW w:w="63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17" w:firstLine="0"/>
            </w:pPr>
            <w:r w:rsidRPr="00405E9C">
              <w:t xml:space="preserve">N/A </w:t>
            </w:r>
          </w:p>
        </w:tc>
        <w:tc>
          <w:tcPr>
            <w:tcW w:w="5738"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0" w:right="48" w:firstLine="0"/>
              <w:jc w:val="center"/>
            </w:pPr>
            <w:r w:rsidRPr="00405E9C">
              <w:t xml:space="preserve">Inspection Item </w:t>
            </w:r>
          </w:p>
        </w:tc>
        <w:tc>
          <w:tcPr>
            <w:tcW w:w="2424"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0" w:right="48" w:firstLine="0"/>
              <w:jc w:val="center"/>
            </w:pPr>
            <w:r w:rsidRPr="00405E9C">
              <w:t xml:space="preserve">Comments </w:t>
            </w:r>
          </w:p>
        </w:tc>
      </w:tr>
      <w:tr w:rsidR="001E19C2" w:rsidRPr="00405E9C" w:rsidTr="00405E9C">
        <w:trPr>
          <w:trHeight w:val="470"/>
        </w:trPr>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Controlled substances, including dilutions, are stored behind at least 2 differently keyed locks at all times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700"/>
        </w:trPr>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Controlled substances, </w:t>
            </w:r>
            <w:r w:rsidRPr="00405E9C">
              <w:rPr>
                <w:b w:val="0"/>
              </w:rPr>
              <w:t xml:space="preserve">including dilutions, listed in Schedule I or II are stored in a safe or locked, substantially constructed steel cabinet, mounted/secured if applicable (&lt;750 </w:t>
            </w:r>
            <w:proofErr w:type="spellStart"/>
            <w:r w:rsidRPr="00405E9C">
              <w:rPr>
                <w:b w:val="0"/>
              </w:rPr>
              <w:t>lbs</w:t>
            </w:r>
            <w:proofErr w:type="spellEnd"/>
            <w:r w:rsidRPr="00405E9C">
              <w:rPr>
                <w:b w:val="0"/>
              </w:rPr>
              <w:t xml:space="preserve">)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701"/>
        </w:trPr>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right="41" w:firstLine="0"/>
            </w:pPr>
            <w:r w:rsidRPr="00405E9C">
              <w:rPr>
                <w:b w:val="0"/>
              </w:rPr>
              <w:t xml:space="preserve">Controlled substances, including dilutions, listed in Schedules </w:t>
            </w:r>
            <w:r w:rsidRPr="00405E9C">
              <w:rPr>
                <w:b w:val="0"/>
              </w:rPr>
              <w:t xml:space="preserve">III, IV and V are stored in a safe or securely locked, substantially constructed cabinet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469"/>
        </w:trPr>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Dispensed controlled substances remain under surveillance until completely used, returned or disposed of appropriately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r w:rsidR="001E19C2" w:rsidRPr="00405E9C" w:rsidTr="00405E9C">
        <w:trPr>
          <w:trHeight w:val="470"/>
        </w:trPr>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45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8" w:firstLine="0"/>
              <w:jc w:val="both"/>
            </w:pPr>
            <w:r w:rsidRPr="00405E9C">
              <w:t>□</w:t>
            </w:r>
            <w:r w:rsidRPr="00405E9C">
              <w:t xml:space="preserve"> </w:t>
            </w:r>
          </w:p>
        </w:tc>
        <w:tc>
          <w:tcPr>
            <w:tcW w:w="630"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98" w:firstLine="0"/>
            </w:pPr>
            <w:r w:rsidRPr="00405E9C">
              <w:t>□</w:t>
            </w:r>
            <w:r w:rsidRPr="00405E9C">
              <w:t xml:space="preserve"> </w:t>
            </w:r>
          </w:p>
        </w:tc>
        <w:tc>
          <w:tcPr>
            <w:tcW w:w="5738"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Laboratory-</w:t>
            </w:r>
            <w:r w:rsidRPr="00405E9C">
              <w:rPr>
                <w:b w:val="0"/>
              </w:rPr>
              <w:t xml:space="preserve">specific training includes an acknowledgement that any drug-related felonies will be reported to the registrant </w:t>
            </w:r>
          </w:p>
        </w:tc>
        <w:tc>
          <w:tcPr>
            <w:tcW w:w="2424" w:type="dxa"/>
            <w:tcBorders>
              <w:top w:val="single" w:sz="4" w:space="0" w:color="000000"/>
              <w:left w:val="single" w:sz="4" w:space="0" w:color="000000"/>
              <w:bottom w:val="single" w:sz="4" w:space="0" w:color="000000"/>
              <w:right w:val="single" w:sz="4" w:space="0" w:color="000000"/>
            </w:tcBorders>
          </w:tcPr>
          <w:p w:rsidR="001E19C2" w:rsidRPr="00405E9C" w:rsidRDefault="00405E9C">
            <w:pPr>
              <w:ind w:left="0" w:firstLine="0"/>
            </w:pPr>
            <w:r w:rsidRPr="00405E9C">
              <w:rPr>
                <w:b w:val="0"/>
              </w:rPr>
              <w:t xml:space="preserve"> </w:t>
            </w:r>
          </w:p>
        </w:tc>
      </w:tr>
    </w:tbl>
    <w:p w:rsidR="001E19C2" w:rsidRPr="00405E9C" w:rsidRDefault="00405E9C">
      <w:pPr>
        <w:ind w:left="0" w:firstLine="0"/>
      </w:pPr>
      <w:r w:rsidRPr="00405E9C">
        <w:t xml:space="preserve"> </w:t>
      </w:r>
    </w:p>
    <w:sectPr w:rsidR="001E19C2" w:rsidRPr="00405E9C" w:rsidSect="00405E9C">
      <w:headerReference w:type="even" r:id="rId6"/>
      <w:headerReference w:type="default" r:id="rId7"/>
      <w:headerReference w:type="first" r:id="rId8"/>
      <w:pgSz w:w="12240" w:h="15840"/>
      <w:pgMar w:top="1440" w:right="1440" w:bottom="1440" w:left="1440" w:header="36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05E9C">
      <w:pPr>
        <w:spacing w:line="240" w:lineRule="auto"/>
      </w:pPr>
      <w:r>
        <w:separator/>
      </w:r>
    </w:p>
  </w:endnote>
  <w:endnote w:type="continuationSeparator" w:id="0">
    <w:p w:rsidR="00000000" w:rsidRDefault="00405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05E9C">
      <w:pPr>
        <w:spacing w:line="240" w:lineRule="auto"/>
      </w:pPr>
      <w:r>
        <w:separator/>
      </w:r>
    </w:p>
  </w:footnote>
  <w:footnote w:type="continuationSeparator" w:id="0">
    <w:p w:rsidR="00000000" w:rsidRDefault="00405E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9C2" w:rsidRDefault="00405E9C">
    <w:pPr>
      <w:ind w:left="0" w:right="-2573" w:firstLine="0"/>
      <w:jc w:val="right"/>
    </w:pPr>
    <w:r>
      <w:rPr>
        <w:noProof/>
      </w:rPr>
      <w:drawing>
        <wp:anchor distT="0" distB="0" distL="114300" distR="114300" simplePos="0" relativeHeight="251658240" behindDoc="0" locked="0" layoutInCell="1" allowOverlap="0">
          <wp:simplePos x="0" y="0"/>
          <wp:positionH relativeFrom="page">
            <wp:posOffset>400050</wp:posOffset>
          </wp:positionH>
          <wp:positionV relativeFrom="page">
            <wp:posOffset>228600</wp:posOffset>
          </wp:positionV>
          <wp:extent cx="1584960" cy="654558"/>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584960" cy="654558"/>
                  </a:xfrm>
                  <a:prstGeom prst="rect">
                    <a:avLst/>
                  </a:prstGeom>
                </pic:spPr>
              </pic:pic>
            </a:graphicData>
          </a:graphic>
        </wp:anchor>
      </w:drawing>
    </w:r>
    <w:r>
      <w:rPr>
        <w:b w:val="0"/>
        <w:sz w:val="17"/>
      </w:rPr>
      <w:t xml:space="preserve">PO Box 245101 </w:t>
    </w:r>
  </w:p>
  <w:p w:rsidR="001E19C2" w:rsidRDefault="00405E9C">
    <w:pPr>
      <w:ind w:left="0" w:right="-2574" w:firstLine="0"/>
      <w:jc w:val="right"/>
    </w:pPr>
    <w:r>
      <w:rPr>
        <w:b w:val="0"/>
        <w:sz w:val="17"/>
      </w:rPr>
      <w:t xml:space="preserve">Tucson, AZ 85724-5101 </w:t>
    </w:r>
  </w:p>
  <w:p w:rsidR="001E19C2" w:rsidRDefault="00405E9C">
    <w:pPr>
      <w:ind w:left="0" w:right="-2574" w:firstLine="0"/>
      <w:jc w:val="right"/>
    </w:pPr>
    <w:r>
      <w:rPr>
        <w:b w:val="0"/>
        <w:sz w:val="17"/>
      </w:rPr>
      <w:t xml:space="preserve">Voice:  </w:t>
    </w:r>
    <w:proofErr w:type="gramStart"/>
    <w:r>
      <w:rPr>
        <w:b w:val="0"/>
        <w:sz w:val="17"/>
      </w:rPr>
      <w:t xml:space="preserve">   (</w:t>
    </w:r>
    <w:proofErr w:type="gramEnd"/>
    <w:r>
      <w:rPr>
        <w:b w:val="0"/>
        <w:sz w:val="17"/>
      </w:rPr>
      <w:t xml:space="preserve">520) 626-6850 </w:t>
    </w:r>
  </w:p>
  <w:p w:rsidR="001E19C2" w:rsidRDefault="00405E9C">
    <w:pPr>
      <w:tabs>
        <w:tab w:val="center" w:pos="9395"/>
        <w:tab w:val="right" w:pos="10942"/>
      </w:tabs>
      <w:spacing w:after="25"/>
      <w:ind w:left="0" w:right="-2574" w:firstLine="0"/>
    </w:pPr>
    <w:r>
      <w:rPr>
        <w:rFonts w:ascii="Calibri" w:eastAsia="Calibri" w:hAnsi="Calibri" w:cs="Calibri"/>
        <w:b w:val="0"/>
      </w:rPr>
      <w:tab/>
    </w:r>
    <w:r>
      <w:rPr>
        <w:b w:val="0"/>
        <w:sz w:val="17"/>
      </w:rPr>
      <w:t xml:space="preserve">  FAX: </w:t>
    </w:r>
    <w:r>
      <w:rPr>
        <w:b w:val="0"/>
        <w:sz w:val="17"/>
      </w:rPr>
      <w:tab/>
      <w:t>(520) 626-</w:t>
    </w:r>
    <w:r>
      <w:rPr>
        <w:b w:val="0"/>
        <w:sz w:val="17"/>
      </w:rPr>
      <w:t xml:space="preserve">2583 </w:t>
    </w:r>
  </w:p>
  <w:p w:rsidR="001E19C2" w:rsidRDefault="00405E9C">
    <w:pPr>
      <w:tabs>
        <w:tab w:val="center" w:pos="2498"/>
        <w:tab w:val="right" w:pos="10940"/>
      </w:tabs>
      <w:spacing w:after="137"/>
      <w:ind w:left="0" w:right="-2572" w:firstLine="0"/>
    </w:pPr>
    <w:r>
      <w:rPr>
        <w:rFonts w:ascii="Calibri" w:eastAsia="Calibri" w:hAnsi="Calibri" w:cs="Calibri"/>
        <w:b w:val="0"/>
      </w:rPr>
      <w:tab/>
    </w:r>
    <w:r>
      <w:rPr>
        <w:b w:val="0"/>
        <w:sz w:val="17"/>
      </w:rPr>
      <w:t xml:space="preserve"> </w:t>
    </w:r>
    <w:r>
      <w:rPr>
        <w:b w:val="0"/>
        <w:sz w:val="17"/>
      </w:rPr>
      <w:tab/>
    </w:r>
    <w:r>
      <w:rPr>
        <w:b w:val="0"/>
        <w:color w:val="0000FF"/>
        <w:sz w:val="17"/>
        <w:u w:val="single" w:color="0000FF"/>
      </w:rPr>
      <w:t>www.orcbs.arizona.edu</w:t>
    </w:r>
    <w:r>
      <w:rPr>
        <w:b w:val="0"/>
        <w:sz w:val="17"/>
      </w:rPr>
      <w:t xml:space="preserve"> </w:t>
    </w:r>
  </w:p>
  <w:p w:rsidR="001E19C2" w:rsidRDefault="00405E9C">
    <w:pPr>
      <w:ind w:left="0" w:firstLine="0"/>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9C2" w:rsidRDefault="00405E9C" w:rsidP="00405E9C">
    <w:pPr>
      <w:ind w:left="0" w:right="-2573" w:firstLine="0"/>
      <w:jc w:val="right"/>
    </w:pPr>
    <w:r>
      <w:rPr>
        <w:noProof/>
      </w:rPr>
      <w:drawing>
        <wp:anchor distT="0" distB="0" distL="114300" distR="114300" simplePos="0" relativeHeight="251664384" behindDoc="0" locked="0" layoutInCell="1" allowOverlap="1" wp14:anchorId="1F110BD8" wp14:editId="6C0031C3">
          <wp:simplePos x="0" y="0"/>
          <wp:positionH relativeFrom="column">
            <wp:posOffset>-534413</wp:posOffset>
          </wp:positionH>
          <wp:positionV relativeFrom="paragraph">
            <wp:posOffset>-2262</wp:posOffset>
          </wp:positionV>
          <wp:extent cx="2335530" cy="533400"/>
          <wp:effectExtent l="0" t="0" r="7620" b="0"/>
          <wp:wrapSquare wrapText="bothSides"/>
          <wp:docPr id="6" name="Picture 6" descr="C:\Users\blythe\Desktop\Logo.png"/>
          <wp:cNvGraphicFramePr/>
          <a:graphic xmlns:a="http://schemas.openxmlformats.org/drawingml/2006/main">
            <a:graphicData uri="http://schemas.openxmlformats.org/drawingml/2006/picture">
              <pic:pic xmlns:pic="http://schemas.openxmlformats.org/drawingml/2006/picture">
                <pic:nvPicPr>
                  <pic:cNvPr id="1" name="Picture 1" descr="C:\Users\blythe\Desktop\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5530" cy="533400"/>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57DB28AE" wp14:editId="0DB48A09">
              <wp:simplePos x="0" y="0"/>
              <wp:positionH relativeFrom="column">
                <wp:posOffset>4243227</wp:posOffset>
              </wp:positionH>
              <wp:positionV relativeFrom="paragraph">
                <wp:posOffset>-82193</wp:posOffset>
              </wp:positionV>
              <wp:extent cx="2232660" cy="7162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2232660"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5E9C" w:rsidRDefault="00405E9C" w:rsidP="00405E9C">
                          <w:pPr>
                            <w:tabs>
                              <w:tab w:val="left" w:pos="3930"/>
                              <w:tab w:val="right" w:pos="9360"/>
                            </w:tabs>
                            <w:spacing w:line="240" w:lineRule="auto"/>
                            <w:jc w:val="right"/>
                            <w:rPr>
                              <w:sz w:val="17"/>
                              <w:szCs w:val="17"/>
                            </w:rPr>
                          </w:pPr>
                          <w:r>
                            <w:rPr>
                              <w:sz w:val="17"/>
                              <w:szCs w:val="17"/>
                            </w:rPr>
                            <w:t>PO Box 245101</w:t>
                          </w:r>
                        </w:p>
                        <w:p w:rsidR="00405E9C" w:rsidRPr="00FB64CA" w:rsidRDefault="00405E9C" w:rsidP="00405E9C">
                          <w:pPr>
                            <w:tabs>
                              <w:tab w:val="left" w:pos="3930"/>
                              <w:tab w:val="right" w:pos="9360"/>
                            </w:tabs>
                            <w:spacing w:line="240" w:lineRule="auto"/>
                            <w:jc w:val="right"/>
                            <w:rPr>
                              <w:sz w:val="17"/>
                              <w:szCs w:val="17"/>
                            </w:rPr>
                          </w:pPr>
                          <w:r w:rsidRPr="00FB64CA">
                            <w:rPr>
                              <w:sz w:val="17"/>
                              <w:szCs w:val="17"/>
                            </w:rPr>
                            <w:t>Tucson, AZ 85724-5101</w:t>
                          </w:r>
                        </w:p>
                        <w:p w:rsidR="00405E9C" w:rsidRPr="00FB64CA" w:rsidRDefault="00405E9C" w:rsidP="00405E9C">
                          <w:pPr>
                            <w:tabs>
                              <w:tab w:val="left" w:pos="3930"/>
                              <w:tab w:val="right" w:pos="9360"/>
                            </w:tabs>
                            <w:spacing w:line="240" w:lineRule="auto"/>
                            <w:jc w:val="right"/>
                            <w:rPr>
                              <w:sz w:val="17"/>
                              <w:szCs w:val="17"/>
                            </w:rPr>
                          </w:pPr>
                          <w:r w:rsidRPr="00FB64CA">
                            <w:rPr>
                              <w:sz w:val="17"/>
                              <w:szCs w:val="17"/>
                            </w:rPr>
                            <w:t xml:space="preserve">Voice:  </w:t>
                          </w:r>
                          <w:proofErr w:type="gramStart"/>
                          <w:r w:rsidRPr="00FB64CA">
                            <w:rPr>
                              <w:sz w:val="17"/>
                              <w:szCs w:val="17"/>
                            </w:rPr>
                            <w:t xml:space="preserve">   (</w:t>
                          </w:r>
                          <w:proofErr w:type="gramEnd"/>
                          <w:r w:rsidRPr="00FB64CA">
                            <w:rPr>
                              <w:sz w:val="17"/>
                              <w:szCs w:val="17"/>
                            </w:rPr>
                            <w:t>520) 626-6850</w:t>
                          </w:r>
                        </w:p>
                        <w:p w:rsidR="00405E9C" w:rsidRPr="00FB64CA" w:rsidRDefault="00405E9C" w:rsidP="00405E9C">
                          <w:pPr>
                            <w:spacing w:line="240" w:lineRule="auto"/>
                            <w:jc w:val="right"/>
                            <w:rPr>
                              <w:sz w:val="17"/>
                              <w:szCs w:val="17"/>
                            </w:rPr>
                          </w:pPr>
                          <w:r w:rsidRPr="00FB64CA">
                            <w:rPr>
                              <w:sz w:val="17"/>
                              <w:szCs w:val="17"/>
                            </w:rPr>
                            <w:t xml:space="preserve">  FAX:</w:t>
                          </w:r>
                          <w:r w:rsidRPr="00FB64CA">
                            <w:rPr>
                              <w:sz w:val="17"/>
                              <w:szCs w:val="17"/>
                            </w:rPr>
                            <w:tab/>
                            <w:t>(520) 626-2583</w:t>
                          </w:r>
                        </w:p>
                        <w:p w:rsidR="00405E9C" w:rsidRPr="009324BD" w:rsidRDefault="00405E9C" w:rsidP="00405E9C">
                          <w:pPr>
                            <w:spacing w:line="240" w:lineRule="auto"/>
                            <w:jc w:val="right"/>
                            <w:rPr>
                              <w:sz w:val="17"/>
                              <w:szCs w:val="17"/>
                            </w:rPr>
                          </w:pPr>
                          <w:hyperlink r:id="rId2" w:history="1">
                            <w:r>
                              <w:rPr>
                                <w:rStyle w:val="Hyperlink"/>
                                <w:sz w:val="17"/>
                                <w:szCs w:val="17"/>
                              </w:rPr>
                              <w:t>rlss</w:t>
                            </w:r>
                            <w:r w:rsidRPr="00933863">
                              <w:rPr>
                                <w:rStyle w:val="Hyperlink"/>
                                <w:sz w:val="17"/>
                                <w:szCs w:val="17"/>
                              </w:rPr>
                              <w:t>.arizona.edu</w:t>
                            </w:r>
                          </w:hyperlink>
                        </w:p>
                        <w:p w:rsidR="00405E9C" w:rsidRDefault="00405E9C" w:rsidP="00405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B28AE" id="_x0000_t202" coordsize="21600,21600" o:spt="202" path="m,l,21600r21600,l21600,xe">
              <v:stroke joinstyle="miter"/>
              <v:path gradientshapeok="t" o:connecttype="rect"/>
            </v:shapetype>
            <v:shape id="Text Box 7" o:spid="_x0000_s1026" type="#_x0000_t202" style="position:absolute;left:0;text-align:left;margin-left:334.1pt;margin-top:-6.45pt;width:175.8pt;height:5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" fillcolor="white [3201]" stroked="f" strokeweight=".5pt">
              <v:textbox>
                <w:txbxContent>
                  <w:p w:rsidR="00405E9C" w:rsidRDefault="00405E9C" w:rsidP="00405E9C">
                    <w:pPr>
                      <w:tabs>
                        <w:tab w:val="left" w:pos="3930"/>
                        <w:tab w:val="right" w:pos="9360"/>
                      </w:tabs>
                      <w:spacing w:line="240" w:lineRule="auto"/>
                      <w:jc w:val="right"/>
                      <w:rPr>
                        <w:sz w:val="17"/>
                        <w:szCs w:val="17"/>
                      </w:rPr>
                    </w:pPr>
                    <w:r>
                      <w:rPr>
                        <w:sz w:val="17"/>
                        <w:szCs w:val="17"/>
                      </w:rPr>
                      <w:t>PO Box 245101</w:t>
                    </w:r>
                  </w:p>
                  <w:p w:rsidR="00405E9C" w:rsidRPr="00FB64CA" w:rsidRDefault="00405E9C" w:rsidP="00405E9C">
                    <w:pPr>
                      <w:tabs>
                        <w:tab w:val="left" w:pos="3930"/>
                        <w:tab w:val="right" w:pos="9360"/>
                      </w:tabs>
                      <w:spacing w:line="240" w:lineRule="auto"/>
                      <w:jc w:val="right"/>
                      <w:rPr>
                        <w:sz w:val="17"/>
                        <w:szCs w:val="17"/>
                      </w:rPr>
                    </w:pPr>
                    <w:r w:rsidRPr="00FB64CA">
                      <w:rPr>
                        <w:sz w:val="17"/>
                        <w:szCs w:val="17"/>
                      </w:rPr>
                      <w:t>Tucson, AZ 85724-5101</w:t>
                    </w:r>
                  </w:p>
                  <w:p w:rsidR="00405E9C" w:rsidRPr="00FB64CA" w:rsidRDefault="00405E9C" w:rsidP="00405E9C">
                    <w:pPr>
                      <w:tabs>
                        <w:tab w:val="left" w:pos="3930"/>
                        <w:tab w:val="right" w:pos="9360"/>
                      </w:tabs>
                      <w:spacing w:line="240" w:lineRule="auto"/>
                      <w:jc w:val="right"/>
                      <w:rPr>
                        <w:sz w:val="17"/>
                        <w:szCs w:val="17"/>
                      </w:rPr>
                    </w:pPr>
                    <w:r w:rsidRPr="00FB64CA">
                      <w:rPr>
                        <w:sz w:val="17"/>
                        <w:szCs w:val="17"/>
                      </w:rPr>
                      <w:t xml:space="preserve">Voice:  </w:t>
                    </w:r>
                    <w:proofErr w:type="gramStart"/>
                    <w:r w:rsidRPr="00FB64CA">
                      <w:rPr>
                        <w:sz w:val="17"/>
                        <w:szCs w:val="17"/>
                      </w:rPr>
                      <w:t xml:space="preserve">   (</w:t>
                    </w:r>
                    <w:proofErr w:type="gramEnd"/>
                    <w:r w:rsidRPr="00FB64CA">
                      <w:rPr>
                        <w:sz w:val="17"/>
                        <w:szCs w:val="17"/>
                      </w:rPr>
                      <w:t>520) 626-6850</w:t>
                    </w:r>
                  </w:p>
                  <w:p w:rsidR="00405E9C" w:rsidRPr="00FB64CA" w:rsidRDefault="00405E9C" w:rsidP="00405E9C">
                    <w:pPr>
                      <w:spacing w:line="240" w:lineRule="auto"/>
                      <w:jc w:val="right"/>
                      <w:rPr>
                        <w:sz w:val="17"/>
                        <w:szCs w:val="17"/>
                      </w:rPr>
                    </w:pPr>
                    <w:r w:rsidRPr="00FB64CA">
                      <w:rPr>
                        <w:sz w:val="17"/>
                        <w:szCs w:val="17"/>
                      </w:rPr>
                      <w:t xml:space="preserve">  FAX:</w:t>
                    </w:r>
                    <w:r w:rsidRPr="00FB64CA">
                      <w:rPr>
                        <w:sz w:val="17"/>
                        <w:szCs w:val="17"/>
                      </w:rPr>
                      <w:tab/>
                      <w:t>(520) 626-2583</w:t>
                    </w:r>
                  </w:p>
                  <w:p w:rsidR="00405E9C" w:rsidRPr="009324BD" w:rsidRDefault="00405E9C" w:rsidP="00405E9C">
                    <w:pPr>
                      <w:spacing w:line="240" w:lineRule="auto"/>
                      <w:jc w:val="right"/>
                      <w:rPr>
                        <w:sz w:val="17"/>
                        <w:szCs w:val="17"/>
                      </w:rPr>
                    </w:pPr>
                    <w:hyperlink r:id="rId3" w:history="1">
                      <w:r>
                        <w:rPr>
                          <w:rStyle w:val="Hyperlink"/>
                          <w:sz w:val="17"/>
                          <w:szCs w:val="17"/>
                        </w:rPr>
                        <w:t>rlss</w:t>
                      </w:r>
                      <w:r w:rsidRPr="00933863">
                        <w:rPr>
                          <w:rStyle w:val="Hyperlink"/>
                          <w:sz w:val="17"/>
                          <w:szCs w:val="17"/>
                        </w:rPr>
                        <w:t>.arizona.edu</w:t>
                      </w:r>
                    </w:hyperlink>
                  </w:p>
                  <w:p w:rsidR="00405E9C" w:rsidRDefault="00405E9C" w:rsidP="00405E9C"/>
                </w:txbxContent>
              </v:textbox>
            </v:shape>
          </w:pict>
        </mc:Fallback>
      </mc:AlternateContent>
    </w:r>
    <w:r>
      <w:rPr>
        <w:b w:val="0"/>
        <w:sz w:val="17"/>
      </w:rPr>
      <w:t xml:space="preserve">PO Box 245101 </w:t>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9C2" w:rsidRDefault="00405E9C">
    <w:pPr>
      <w:ind w:left="0" w:right="-2573" w:firstLine="0"/>
      <w:jc w:val="right"/>
    </w:pPr>
    <w:r>
      <w:rPr>
        <w:noProof/>
      </w:rPr>
      <w:drawing>
        <wp:anchor distT="0" distB="0" distL="114300" distR="114300" simplePos="0" relativeHeight="251660288" behindDoc="0" locked="0" layoutInCell="1" allowOverlap="0">
          <wp:simplePos x="0" y="0"/>
          <wp:positionH relativeFrom="page">
            <wp:posOffset>400050</wp:posOffset>
          </wp:positionH>
          <wp:positionV relativeFrom="page">
            <wp:posOffset>228600</wp:posOffset>
          </wp:positionV>
          <wp:extent cx="1584960" cy="65455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584960" cy="654558"/>
                  </a:xfrm>
                  <a:prstGeom prst="rect">
                    <a:avLst/>
                  </a:prstGeom>
                </pic:spPr>
              </pic:pic>
            </a:graphicData>
          </a:graphic>
        </wp:anchor>
      </w:drawing>
    </w:r>
    <w:r>
      <w:rPr>
        <w:b w:val="0"/>
        <w:sz w:val="17"/>
      </w:rPr>
      <w:t xml:space="preserve">PO Box 245101 </w:t>
    </w:r>
  </w:p>
  <w:p w:rsidR="001E19C2" w:rsidRDefault="00405E9C">
    <w:pPr>
      <w:ind w:left="0" w:right="-2574" w:firstLine="0"/>
      <w:jc w:val="right"/>
    </w:pPr>
    <w:r>
      <w:rPr>
        <w:b w:val="0"/>
        <w:sz w:val="17"/>
      </w:rPr>
      <w:t xml:space="preserve">Tucson, AZ 85724-5101 </w:t>
    </w:r>
  </w:p>
  <w:p w:rsidR="001E19C2" w:rsidRDefault="00405E9C">
    <w:pPr>
      <w:ind w:left="0" w:right="-2574" w:firstLine="0"/>
      <w:jc w:val="right"/>
    </w:pPr>
    <w:r>
      <w:rPr>
        <w:b w:val="0"/>
        <w:sz w:val="17"/>
      </w:rPr>
      <w:t xml:space="preserve">Voice:  </w:t>
    </w:r>
    <w:proofErr w:type="gramStart"/>
    <w:r>
      <w:rPr>
        <w:b w:val="0"/>
        <w:sz w:val="17"/>
      </w:rPr>
      <w:t xml:space="preserve">   (</w:t>
    </w:r>
    <w:proofErr w:type="gramEnd"/>
    <w:r>
      <w:rPr>
        <w:b w:val="0"/>
        <w:sz w:val="17"/>
      </w:rPr>
      <w:t xml:space="preserve">520) 626-6850 </w:t>
    </w:r>
  </w:p>
  <w:p w:rsidR="001E19C2" w:rsidRDefault="00405E9C">
    <w:pPr>
      <w:tabs>
        <w:tab w:val="center" w:pos="9395"/>
        <w:tab w:val="right" w:pos="10942"/>
      </w:tabs>
      <w:spacing w:after="25"/>
      <w:ind w:left="0" w:right="-2574" w:firstLine="0"/>
    </w:pPr>
    <w:r>
      <w:rPr>
        <w:rFonts w:ascii="Calibri" w:eastAsia="Calibri" w:hAnsi="Calibri" w:cs="Calibri"/>
        <w:b w:val="0"/>
      </w:rPr>
      <w:tab/>
    </w:r>
    <w:r>
      <w:rPr>
        <w:b w:val="0"/>
        <w:sz w:val="17"/>
      </w:rPr>
      <w:t xml:space="preserve">  FAX: </w:t>
    </w:r>
    <w:r>
      <w:rPr>
        <w:b w:val="0"/>
        <w:sz w:val="17"/>
      </w:rPr>
      <w:tab/>
      <w:t xml:space="preserve">(520) 626-2583 </w:t>
    </w:r>
  </w:p>
  <w:p w:rsidR="001E19C2" w:rsidRDefault="00405E9C">
    <w:pPr>
      <w:tabs>
        <w:tab w:val="center" w:pos="2498"/>
        <w:tab w:val="right" w:pos="10940"/>
      </w:tabs>
      <w:spacing w:after="137"/>
      <w:ind w:left="0" w:right="-2572" w:firstLine="0"/>
    </w:pPr>
    <w:r>
      <w:rPr>
        <w:rFonts w:ascii="Calibri" w:eastAsia="Calibri" w:hAnsi="Calibri" w:cs="Calibri"/>
        <w:b w:val="0"/>
      </w:rPr>
      <w:tab/>
    </w:r>
    <w:r>
      <w:rPr>
        <w:b w:val="0"/>
        <w:sz w:val="17"/>
      </w:rPr>
      <w:t xml:space="preserve"> </w:t>
    </w:r>
    <w:r>
      <w:rPr>
        <w:b w:val="0"/>
        <w:sz w:val="17"/>
      </w:rPr>
      <w:tab/>
    </w:r>
    <w:r>
      <w:rPr>
        <w:b w:val="0"/>
        <w:color w:val="0000FF"/>
        <w:sz w:val="17"/>
        <w:u w:val="single" w:color="0000FF"/>
      </w:rPr>
      <w:t>www.orcbs.arizona.edu</w:t>
    </w:r>
    <w:r>
      <w:rPr>
        <w:b w:val="0"/>
        <w:sz w:val="17"/>
      </w:rPr>
      <w:t xml:space="preserve"> </w:t>
    </w:r>
  </w:p>
  <w:p w:rsidR="001E19C2" w:rsidRDefault="00405E9C">
    <w:pPr>
      <w:ind w:left="0" w:firstLine="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C2"/>
    <w:rsid w:val="001E19C2"/>
    <w:rsid w:val="0040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AFE1"/>
  <w15:docId w15:val="{5C306AC2-8E6B-4E56-A835-0AD15ECE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 Grid1"/>
    <w:basedOn w:val="TableNormal"/>
    <w:next w:val="TableGrid0"/>
    <w:uiPriority w:val="59"/>
    <w:rsid w:val="00405E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40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05E9C"/>
    <w:pPr>
      <w:tabs>
        <w:tab w:val="center" w:pos="4680"/>
        <w:tab w:val="right" w:pos="9360"/>
      </w:tabs>
      <w:spacing w:line="240" w:lineRule="auto"/>
    </w:pPr>
  </w:style>
  <w:style w:type="character" w:customStyle="1" w:styleId="FooterChar">
    <w:name w:val="Footer Char"/>
    <w:basedOn w:val="DefaultParagraphFont"/>
    <w:link w:val="Footer"/>
    <w:uiPriority w:val="99"/>
    <w:rsid w:val="00405E9C"/>
    <w:rPr>
      <w:rFonts w:ascii="Times New Roman" w:eastAsia="Times New Roman" w:hAnsi="Times New Roman" w:cs="Times New Roman"/>
      <w:b/>
      <w:color w:val="000000"/>
    </w:rPr>
  </w:style>
  <w:style w:type="character" w:styleId="Hyperlink">
    <w:name w:val="Hyperlink"/>
    <w:basedOn w:val="DefaultParagraphFont"/>
    <w:rsid w:val="00405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http://www.orcbs.arizona.edu" TargetMode="External"/><Relationship Id="rId2" Type="http://schemas.openxmlformats.org/officeDocument/2006/relationships/hyperlink" Target="http://www.orcbs.arizona.edu"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Murphy, Maggie</cp:lastModifiedBy>
  <cp:revision>2</cp:revision>
  <dcterms:created xsi:type="dcterms:W3CDTF">2019-12-08T23:26:00Z</dcterms:created>
  <dcterms:modified xsi:type="dcterms:W3CDTF">2019-12-08T23:26:00Z</dcterms:modified>
</cp:coreProperties>
</file>